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BF872">
      <w:pPr>
        <w:rPr>
          <w:rFonts w:hint="eastAsia" w:ascii="黑体" w:hAnsi="黑体" w:eastAsia="黑体" w:cs="黑体"/>
          <w:sz w:val="24"/>
          <w:szCs w:val="24"/>
          <w:lang w:eastAsia="zh-CN"/>
        </w:rPr>
      </w:pPr>
      <w:r>
        <w:rPr>
          <w:rFonts w:hint="eastAsia" w:ascii="黑体" w:hAnsi="黑体" w:eastAsia="黑体" w:cs="黑体"/>
          <w:sz w:val="24"/>
          <w:szCs w:val="24"/>
        </w:rPr>
        <w:t>附件</w:t>
      </w:r>
      <w:r>
        <w:rPr>
          <w:rFonts w:hint="eastAsia" w:ascii="黑体" w:hAnsi="黑体" w:eastAsia="黑体" w:cs="黑体"/>
          <w:sz w:val="24"/>
          <w:szCs w:val="24"/>
          <w:lang w:val="en-US" w:eastAsia="zh-CN"/>
        </w:rPr>
        <w:t>5</w:t>
      </w:r>
    </w:p>
    <w:p w14:paraId="68E4D729">
      <w:pPr>
        <w:spacing w:line="360" w:lineRule="auto"/>
        <w:jc w:val="center"/>
        <w:rPr>
          <w:rFonts w:ascii="方正小标宋简体" w:eastAsia="方正小标宋简体"/>
          <w:sz w:val="44"/>
          <w:szCs w:val="44"/>
        </w:rPr>
      </w:pPr>
      <w:r>
        <w:rPr>
          <w:rFonts w:hint="eastAsia" w:ascii="方正小标宋简体" w:eastAsia="方正小标宋简体"/>
          <w:sz w:val="44"/>
          <w:szCs w:val="44"/>
        </w:rPr>
        <w:t>部门整体支出绩效自评报告</w:t>
      </w:r>
    </w:p>
    <w:p w14:paraId="51586773"/>
    <w:p w14:paraId="64BD036F"/>
    <w:p w14:paraId="7E1A9772"/>
    <w:p w14:paraId="38F02B43"/>
    <w:p w14:paraId="2BD56067">
      <w:pPr>
        <w:ind w:firstLine="1823" w:firstLineChars="592"/>
        <w:rPr>
          <w:rFonts w:hint="eastAsia" w:ascii="仿宋_GB2312"/>
          <w:lang w:val="en-US" w:eastAsia="zh-CN"/>
        </w:rPr>
      </w:pPr>
      <w:r>
        <w:rPr>
          <w:rFonts w:hint="eastAsia"/>
        </w:rPr>
        <w:t>部门名称（公章）：</w:t>
      </w:r>
      <w:r>
        <w:rPr>
          <w:rFonts w:hint="eastAsia" w:ascii="仿宋_GB2312"/>
          <w:lang w:val="en-US" w:eastAsia="zh-CN"/>
        </w:rPr>
        <w:t>中共阳江市委党校</w:t>
      </w:r>
    </w:p>
    <w:p w14:paraId="63A9B4CC">
      <w:pPr>
        <w:ind w:firstLine="1823" w:firstLineChars="592"/>
        <w:rPr>
          <w:rFonts w:hint="default" w:eastAsia="仿宋_GB2312"/>
          <w:lang w:val="en-US" w:eastAsia="zh-CN"/>
        </w:rPr>
      </w:pPr>
      <w:r>
        <w:rPr>
          <w:rFonts w:hint="eastAsia"/>
        </w:rPr>
        <w:t>填报人姓名：</w:t>
      </w:r>
      <w:r>
        <w:rPr>
          <w:rFonts w:hint="eastAsia"/>
          <w:lang w:val="en-US" w:eastAsia="zh-CN"/>
        </w:rPr>
        <w:t>陈仕花</w:t>
      </w:r>
    </w:p>
    <w:p w14:paraId="1CD953BD">
      <w:pPr>
        <w:ind w:firstLine="1823" w:firstLineChars="592"/>
        <w:rPr>
          <w:rFonts w:hint="default" w:eastAsia="仿宋_GB2312"/>
          <w:lang w:val="en-US" w:eastAsia="zh-CN"/>
        </w:rPr>
      </w:pPr>
      <w:r>
        <w:rPr>
          <w:rFonts w:hint="eastAsia"/>
        </w:rPr>
        <w:t>联系电话：</w:t>
      </w:r>
      <w:r>
        <w:rPr>
          <w:rFonts w:hint="eastAsia"/>
          <w:lang w:val="en-US" w:eastAsia="zh-CN"/>
        </w:rPr>
        <w:t>17788835298</w:t>
      </w:r>
    </w:p>
    <w:p w14:paraId="22D53612">
      <w:pPr>
        <w:ind w:firstLine="1823" w:firstLineChars="592"/>
        <w:rPr>
          <w:rFonts w:hint="default" w:eastAsia="仿宋_GB2312"/>
          <w:lang w:val="en-US" w:eastAsia="zh-CN"/>
        </w:rPr>
      </w:pPr>
      <w:r>
        <w:rPr>
          <w:rFonts w:hint="eastAsia"/>
        </w:rPr>
        <w:t>填报日期：</w:t>
      </w:r>
      <w:r>
        <w:rPr>
          <w:rFonts w:hint="eastAsia"/>
          <w:lang w:val="en-US" w:eastAsia="zh-CN"/>
        </w:rPr>
        <w:t>2026年6月4日</w:t>
      </w:r>
    </w:p>
    <w:p w14:paraId="6C3CE381"/>
    <w:p w14:paraId="3DB6B8D8"/>
    <w:p w14:paraId="28AB3787">
      <w:pPr>
        <w:pStyle w:val="7"/>
      </w:pPr>
    </w:p>
    <w:p w14:paraId="68E9AE03">
      <w:pPr>
        <w:pStyle w:val="7"/>
      </w:pPr>
    </w:p>
    <w:p w14:paraId="3E730C41">
      <w:pPr>
        <w:pStyle w:val="7"/>
      </w:pPr>
    </w:p>
    <w:p w14:paraId="6FDF494E"/>
    <w:p w14:paraId="5B542574"/>
    <w:p w14:paraId="35CA1314">
      <w:pPr>
        <w:rPr>
          <w:rFonts w:hint="eastAsia"/>
        </w:rPr>
      </w:pPr>
      <w:r>
        <w:rPr>
          <w:rFonts w:hint="eastAsia"/>
        </w:rPr>
        <w:t xml:space="preserve">                    </w:t>
      </w:r>
    </w:p>
    <w:p w14:paraId="79A33595">
      <w:pPr>
        <w:rPr>
          <w:rFonts w:hint="eastAsia"/>
        </w:rPr>
      </w:pPr>
    </w:p>
    <w:p w14:paraId="1BA12CD9">
      <w:pPr>
        <w:rPr>
          <w:rFonts w:hint="eastAsia"/>
        </w:rPr>
      </w:pPr>
    </w:p>
    <w:p w14:paraId="5745702C">
      <w:pPr>
        <w:rPr>
          <w:rFonts w:hint="eastAsia"/>
        </w:rPr>
      </w:pPr>
    </w:p>
    <w:p w14:paraId="780A6B33">
      <w:pPr>
        <w:jc w:val="center"/>
      </w:pPr>
      <w:r>
        <w:rPr>
          <w:rFonts w:hint="eastAsia"/>
        </w:rPr>
        <w:t>阳江市财政局制</w:t>
      </w:r>
    </w:p>
    <w:p w14:paraId="37701373">
      <w:r>
        <w:rPr>
          <w:rFonts w:hint="eastAsia"/>
        </w:rPr>
        <w:t xml:space="preserve">                         202</w:t>
      </w:r>
      <w:r>
        <w:rPr>
          <w:rFonts w:hint="eastAsia"/>
          <w:lang w:val="en-US" w:eastAsia="zh-CN"/>
        </w:rPr>
        <w:t>6</w:t>
      </w:r>
      <w:r>
        <w:rPr>
          <w:rFonts w:hint="eastAsia"/>
        </w:rPr>
        <w:t>年</w:t>
      </w:r>
    </w:p>
    <w:p w14:paraId="338623B1">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方正小标宋简体" w:eastAsia="方正小标宋简体"/>
        </w:rPr>
      </w:pPr>
      <w:bookmarkStart w:id="0" w:name="_Toc28838"/>
      <w:bookmarkStart w:id="1" w:name="_Toc8021_WPSOffice_Level2"/>
    </w:p>
    <w:p w14:paraId="1E0F8A1E">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ascii="方正小标宋简体" w:eastAsia="方正小标宋简体"/>
        </w:rPr>
      </w:pPr>
      <w:r>
        <w:rPr>
          <w:rFonts w:hint="eastAsia" w:ascii="方正小标宋简体" w:eastAsia="方正小标宋简体"/>
        </w:rPr>
        <w:t>一、部门基本情况</w:t>
      </w:r>
      <w:bookmarkEnd w:id="0"/>
    </w:p>
    <w:bookmarkEnd w:id="1"/>
    <w:p w14:paraId="10890DBC">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ascii="楷体_GB2312" w:eastAsia="楷体_GB2312"/>
          <w:b/>
          <w:bCs/>
          <w:szCs w:val="32"/>
        </w:rPr>
      </w:pPr>
      <w:bookmarkStart w:id="2" w:name="_Toc30104"/>
      <w:bookmarkStart w:id="3" w:name="_Toc23683"/>
      <w:bookmarkStart w:id="4" w:name="_Toc5988_WPSOffice_Level3"/>
      <w:r>
        <w:rPr>
          <w:rFonts w:hint="eastAsia" w:ascii="楷体_GB2312" w:eastAsia="楷体_GB2312"/>
          <w:b/>
          <w:bCs/>
          <w:szCs w:val="32"/>
        </w:rPr>
        <w:t>（一）部门整体概况</w:t>
      </w:r>
      <w:bookmarkEnd w:id="2"/>
      <w:bookmarkEnd w:id="3"/>
      <w:bookmarkEnd w:id="4"/>
      <w:bookmarkStart w:id="5" w:name="_Toc18779"/>
    </w:p>
    <w:bookmarkEnd w:id="5"/>
    <w:p w14:paraId="61B3DC15">
      <w:pPr>
        <w:keepNext w:val="0"/>
        <w:keepLines w:val="0"/>
        <w:widowControl/>
        <w:suppressLineNumbers w:val="0"/>
        <w:ind w:firstLine="616" w:firstLineChars="200"/>
        <w:jc w:val="left"/>
        <w:rPr>
          <w:rFonts w:hint="eastAsia" w:ascii="仿宋" w:hAnsi="仿宋" w:eastAsia="仿宋" w:cs="仿宋"/>
        </w:rPr>
      </w:pPr>
      <w:bookmarkStart w:id="6" w:name="_Toc14936_WPSOffice_Level2"/>
      <w:bookmarkStart w:id="7" w:name="_Toc25996"/>
      <w:r>
        <w:rPr>
          <w:rFonts w:hint="eastAsia" w:ascii="仿宋" w:hAnsi="仿宋" w:eastAsia="仿宋" w:cs="仿宋"/>
          <w:lang w:val="en-US" w:eastAsia="zh-CN"/>
        </w:rPr>
        <w:t>中共阳江</w:t>
      </w:r>
      <w:r>
        <w:rPr>
          <w:rFonts w:hint="eastAsia" w:ascii="仿宋" w:hAnsi="仿宋" w:eastAsia="仿宋" w:cs="仿宋"/>
        </w:rPr>
        <w:t>市委党校是阳江市委直接领导下培养党员领导干部的学校和</w:t>
      </w:r>
      <w:r>
        <w:rPr>
          <w:rFonts w:hint="eastAsia" w:ascii="仿宋" w:hAnsi="仿宋" w:eastAsia="仿宋" w:cs="仿宋"/>
          <w:szCs w:val="34"/>
        </w:rPr>
        <w:t>党的哲学社会科学研究机构</w:t>
      </w:r>
      <w:r>
        <w:rPr>
          <w:rFonts w:hint="eastAsia" w:ascii="仿宋" w:hAnsi="仿宋" w:eastAsia="仿宋" w:cs="仿宋"/>
        </w:rPr>
        <w:t>，是市委的重要工作部门。本单位</w:t>
      </w:r>
      <w:r>
        <w:rPr>
          <w:rFonts w:hint="eastAsia" w:ascii="仿宋" w:hAnsi="仿宋" w:eastAsia="仿宋" w:cs="仿宋"/>
          <w:lang w:val="en-US" w:eastAsia="zh-CN"/>
        </w:rPr>
        <w:t>是公益一类</w:t>
      </w:r>
      <w:r>
        <w:rPr>
          <w:rFonts w:hint="eastAsia" w:ascii="仿宋" w:hAnsi="仿宋" w:eastAsia="仿宋" w:cs="仿宋"/>
        </w:rPr>
        <w:t>事业单位。目前内设办公室、教务科、培训科、</w:t>
      </w:r>
      <w:r>
        <w:rPr>
          <w:rFonts w:hint="eastAsia" w:ascii="仿宋" w:hAnsi="仿宋" w:eastAsia="仿宋" w:cs="仿宋"/>
          <w:lang w:val="en-US" w:eastAsia="zh-CN"/>
        </w:rPr>
        <w:t>总务</w:t>
      </w:r>
      <w:r>
        <w:rPr>
          <w:rFonts w:hint="eastAsia" w:ascii="仿宋" w:hAnsi="仿宋" w:eastAsia="仿宋" w:cs="仿宋"/>
        </w:rPr>
        <w:t>科、科研信息科、</w:t>
      </w:r>
      <w:r>
        <w:rPr>
          <w:rFonts w:ascii="仿宋" w:hAnsi="仿宋" w:eastAsia="仿宋" w:cs="仿宋"/>
          <w:color w:val="000000"/>
          <w:kern w:val="0"/>
          <w:sz w:val="30"/>
          <w:szCs w:val="30"/>
          <w:lang w:val="en-US" w:eastAsia="zh-CN" w:bidi="ar"/>
        </w:rPr>
        <w:t>马克思主义教研室</w:t>
      </w:r>
      <w:r>
        <w:rPr>
          <w:rFonts w:hint="eastAsia" w:ascii="仿宋" w:hAnsi="仿宋" w:eastAsia="仿宋" w:cs="仿宋"/>
        </w:rPr>
        <w:t>、</w:t>
      </w:r>
      <w:r>
        <w:rPr>
          <w:rFonts w:ascii="仿宋" w:hAnsi="仿宋" w:eastAsia="仿宋" w:cs="仿宋"/>
          <w:color w:val="000000"/>
          <w:kern w:val="0"/>
          <w:sz w:val="30"/>
          <w:szCs w:val="30"/>
          <w:lang w:val="en-US" w:eastAsia="zh-CN" w:bidi="ar"/>
        </w:rPr>
        <w:t>党建与统战教研室</w:t>
      </w:r>
      <w:r>
        <w:rPr>
          <w:rFonts w:hint="eastAsia" w:ascii="仿宋" w:hAnsi="仿宋" w:eastAsia="仿宋" w:cs="仿宋"/>
        </w:rPr>
        <w:t>、</w:t>
      </w:r>
      <w:r>
        <w:rPr>
          <w:rFonts w:ascii="仿宋" w:hAnsi="仿宋" w:eastAsia="仿宋" w:cs="仿宋"/>
          <w:color w:val="000000"/>
          <w:kern w:val="0"/>
          <w:sz w:val="30"/>
          <w:szCs w:val="30"/>
          <w:lang w:val="en-US" w:eastAsia="zh-CN" w:bidi="ar"/>
        </w:rPr>
        <w:t>经济与管理教研室</w:t>
      </w:r>
      <w:r>
        <w:rPr>
          <w:rFonts w:hint="eastAsia" w:ascii="仿宋" w:hAnsi="仿宋" w:eastAsia="仿宋" w:cs="仿宋"/>
        </w:rPr>
        <w:t>8个科室。本单位主要职能如下：</w:t>
      </w:r>
    </w:p>
    <w:p w14:paraId="67724DF3">
      <w:pPr>
        <w:ind w:firstLine="616" w:firstLineChars="200"/>
        <w:rPr>
          <w:rFonts w:hint="eastAsia" w:ascii="仿宋" w:hAnsi="仿宋" w:eastAsia="仿宋" w:cs="仿宋"/>
        </w:rPr>
      </w:pPr>
      <w:r>
        <w:rPr>
          <w:rFonts w:hint="eastAsia" w:ascii="仿宋" w:hAnsi="仿宋" w:eastAsia="仿宋" w:cs="仿宋"/>
        </w:rPr>
        <w:t>1.学习、研究和宣传马克思列宁主义、毛泽东思想、邓小平理论、“三个代表”重要思想、科学发展观和习近平新时代中国特色社会主义思想，宣传并贯彻党的路线方针政策。</w:t>
      </w:r>
    </w:p>
    <w:p w14:paraId="4BA6802A">
      <w:pPr>
        <w:ind w:firstLine="616" w:firstLineChars="200"/>
        <w:rPr>
          <w:rFonts w:hint="eastAsia" w:ascii="仿宋" w:hAnsi="仿宋" w:eastAsia="仿宋" w:cs="仿宋"/>
        </w:rPr>
      </w:pPr>
      <w:r>
        <w:rPr>
          <w:rFonts w:hint="eastAsia" w:ascii="仿宋" w:hAnsi="仿宋" w:eastAsia="仿宋" w:cs="仿宋"/>
        </w:rPr>
        <w:t>2.培训、轮训县处级党员领导干部；培训中青年党员干部；培训乡镇（街道）科级党员领导干部；培训县直单位科级党员领导干部；培训市直党委部门和工、青、妇各系统的干部；培训意识形态部门的领导干部和理论骨干。</w:t>
      </w:r>
    </w:p>
    <w:p w14:paraId="62C0453C">
      <w:pPr>
        <w:ind w:firstLine="616" w:firstLineChars="200"/>
        <w:rPr>
          <w:rFonts w:hint="eastAsia" w:ascii="仿宋" w:hAnsi="仿宋" w:eastAsia="仿宋" w:cs="仿宋"/>
        </w:rPr>
      </w:pPr>
      <w:r>
        <w:rPr>
          <w:rFonts w:hint="eastAsia" w:ascii="仿宋" w:hAnsi="仿宋" w:eastAsia="仿宋" w:cs="仿宋"/>
        </w:rPr>
        <w:t>3.承办党委和政府举办的专题研讨班。</w:t>
      </w:r>
    </w:p>
    <w:p w14:paraId="15E12758">
      <w:pPr>
        <w:ind w:firstLine="616" w:firstLineChars="200"/>
        <w:rPr>
          <w:rFonts w:hint="eastAsia" w:ascii="仿宋" w:hAnsi="仿宋" w:eastAsia="仿宋" w:cs="仿宋"/>
        </w:rPr>
      </w:pPr>
      <w:r>
        <w:rPr>
          <w:rFonts w:hint="eastAsia" w:ascii="仿宋" w:hAnsi="仿宋" w:eastAsia="仿宋" w:cs="仿宋"/>
        </w:rPr>
        <w:t>4.开展各种适应性培训以及其他形式的干部继续教育和培训，拓展与高校合作办学、联合办学。</w:t>
      </w:r>
    </w:p>
    <w:p w14:paraId="1AE51B3B">
      <w:pPr>
        <w:ind w:firstLine="616" w:firstLineChars="200"/>
        <w:rPr>
          <w:rFonts w:hint="eastAsia" w:ascii="仿宋" w:hAnsi="仿宋" w:eastAsia="仿宋" w:cs="仿宋"/>
        </w:rPr>
      </w:pPr>
      <w:r>
        <w:rPr>
          <w:rFonts w:hint="eastAsia" w:ascii="仿宋" w:hAnsi="仿宋" w:eastAsia="仿宋" w:cs="仿宋"/>
        </w:rPr>
        <w:t>5.围绕改革开放和社会主义现代化建设中的重大理论和现实问题开展科学研究与探讨。</w:t>
      </w:r>
    </w:p>
    <w:p w14:paraId="63A7B6AF">
      <w:pPr>
        <w:ind w:firstLine="616" w:firstLineChars="200"/>
        <w:rPr>
          <w:rFonts w:hint="eastAsia" w:ascii="仿宋" w:hAnsi="仿宋" w:eastAsia="仿宋" w:cs="仿宋"/>
        </w:rPr>
      </w:pPr>
      <w:r>
        <w:rPr>
          <w:rFonts w:hint="eastAsia" w:ascii="仿宋" w:hAnsi="仿宋" w:eastAsia="仿宋" w:cs="仿宋"/>
        </w:rPr>
        <w:t>6.培训民主党派干部、无党派代表人士、党的统战干部以及统战对象。</w:t>
      </w:r>
    </w:p>
    <w:p w14:paraId="601E80A5">
      <w:pPr>
        <w:ind w:firstLine="616" w:firstLineChars="200"/>
        <w:rPr>
          <w:rFonts w:hint="eastAsia" w:ascii="仿宋" w:hAnsi="仿宋" w:eastAsia="仿宋" w:cs="仿宋"/>
        </w:rPr>
      </w:pPr>
      <w:r>
        <w:rPr>
          <w:rFonts w:hint="eastAsia" w:ascii="仿宋" w:hAnsi="仿宋" w:eastAsia="仿宋" w:cs="仿宋"/>
        </w:rPr>
        <w:t>7.对县（市、区）党校进行业务指导。</w:t>
      </w:r>
    </w:p>
    <w:p w14:paraId="329A5C0E">
      <w:pPr>
        <w:ind w:firstLine="616" w:firstLineChars="200"/>
        <w:rPr>
          <w:rFonts w:hint="eastAsia" w:ascii="仿宋" w:hAnsi="仿宋" w:eastAsia="仿宋" w:cs="仿宋"/>
        </w:rPr>
      </w:pPr>
      <w:r>
        <w:rPr>
          <w:rFonts w:hint="eastAsia" w:ascii="仿宋" w:hAnsi="仿宋" w:eastAsia="仿宋" w:cs="仿宋"/>
        </w:rPr>
        <w:t>8.承办市委和上级有关部门交办的其他事项。</w:t>
      </w:r>
    </w:p>
    <w:p w14:paraId="4F23F490">
      <w:pPr>
        <w:ind w:firstLine="616" w:firstLineChars="200"/>
        <w:rPr>
          <w:rFonts w:hint="eastAsia" w:ascii="仿宋" w:hAnsi="仿宋" w:eastAsia="仿宋" w:cs="仿宋"/>
        </w:rPr>
      </w:pPr>
      <w:r>
        <w:rPr>
          <w:rFonts w:hint="eastAsia" w:ascii="仿宋" w:hAnsi="仿宋" w:eastAsia="仿宋" w:cs="仿宋"/>
        </w:rPr>
        <w:t>截至 202</w:t>
      </w:r>
      <w:r>
        <w:rPr>
          <w:rFonts w:hint="eastAsia" w:ascii="仿宋" w:hAnsi="仿宋" w:eastAsia="仿宋" w:cs="仿宋"/>
          <w:lang w:val="en-US" w:eastAsia="zh-CN"/>
        </w:rPr>
        <w:t>5</w:t>
      </w:r>
      <w:r>
        <w:rPr>
          <w:rFonts w:hint="eastAsia" w:ascii="仿宋" w:hAnsi="仿宋" w:eastAsia="仿宋" w:cs="仿宋"/>
        </w:rPr>
        <w:t>年 12月 31 日</w:t>
      </w:r>
      <w:r>
        <w:rPr>
          <w:rFonts w:hint="eastAsia" w:ascii="仿宋" w:hAnsi="仿宋" w:eastAsia="仿宋" w:cs="仿宋"/>
          <w:lang w:eastAsia="zh-CN"/>
        </w:rPr>
        <w:t>，</w:t>
      </w:r>
      <w:r>
        <w:rPr>
          <w:rFonts w:hint="eastAsia" w:ascii="仿宋" w:hAnsi="仿宋" w:eastAsia="仿宋" w:cs="仿宋"/>
        </w:rPr>
        <w:t>市委党校年末在职实有人员为</w:t>
      </w:r>
      <w:r>
        <w:rPr>
          <w:rFonts w:hint="eastAsia" w:ascii="仿宋" w:hAnsi="仿宋" w:eastAsia="仿宋" w:cs="仿宋"/>
          <w:lang w:val="en-US" w:eastAsia="zh-CN"/>
        </w:rPr>
        <w:t>29</w:t>
      </w:r>
      <w:r>
        <w:rPr>
          <w:rFonts w:hint="eastAsia" w:ascii="仿宋" w:hAnsi="仿宋" w:eastAsia="仿宋" w:cs="仿宋"/>
        </w:rPr>
        <w:t>人。</w:t>
      </w:r>
    </w:p>
    <w:p w14:paraId="13B4B204">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ascii="楷体_GB2312" w:eastAsia="楷体_GB2312"/>
          <w:b/>
          <w:bCs/>
          <w:szCs w:val="32"/>
        </w:rPr>
      </w:pPr>
      <w:r>
        <w:rPr>
          <w:rFonts w:hint="eastAsia" w:ascii="楷体_GB2312" w:eastAsia="楷体_GB2312"/>
          <w:b/>
          <w:bCs/>
          <w:szCs w:val="32"/>
        </w:rPr>
        <w:t>（二）年度总体工作和重点工作任务</w:t>
      </w:r>
      <w:bookmarkEnd w:id="6"/>
      <w:bookmarkEnd w:id="7"/>
    </w:p>
    <w:p w14:paraId="524F8143">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rPr>
      </w:pPr>
      <w:bookmarkStart w:id="8" w:name="_Toc28424_WPSOffice_Level2"/>
      <w:bookmarkStart w:id="9" w:name="_Toc8086"/>
      <w:r>
        <w:rPr>
          <w:rFonts w:hint="eastAsia" w:ascii="仿宋" w:hAnsi="仿宋" w:eastAsia="仿宋"/>
        </w:rPr>
        <w:t>2025年，我校紧扣习近平新时代中国特色社会主义思想与党的二十大及历次全会精神，对标省委 “1310”、市委 “433” 工作部署，锚定党校姓党根本原则与“为党育才、为党献策” 初心任务，统筹从严治校、教学科研、办学保障、人才建队、系统联动五项重点工作，各项事业提质增效。</w:t>
      </w:r>
    </w:p>
    <w:p w14:paraId="676BBF5F">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rPr>
      </w:pPr>
      <w:r>
        <w:rPr>
          <w:rFonts w:hint="eastAsia" w:ascii="仿宋" w:hAnsi="仿宋" w:eastAsia="仿宋"/>
        </w:rPr>
        <w:t>一是抓实从严治校，夯实党建纪律根基。以“第一议题”、理论中心组、三会一课常态化深化理论学习，抓实中央八项规定专题研学与警示教育</w:t>
      </w:r>
      <w:r>
        <w:rPr>
          <w:rFonts w:hint="eastAsia" w:ascii="仿宋" w:hAnsi="仿宋" w:eastAsia="仿宋"/>
          <w:lang w:eastAsia="zh-CN"/>
        </w:rPr>
        <w:t>，</w:t>
      </w:r>
      <w:r>
        <w:rPr>
          <w:rFonts w:hint="eastAsia" w:ascii="仿宋" w:hAnsi="仿宋" w:eastAsia="仿宋"/>
        </w:rPr>
        <w:t>从严压实意识形态责任制，落实教学稿件三审三校、师资授课审批、课堂从严治学制度，涵养清朗校风学风。</w:t>
      </w:r>
    </w:p>
    <w:p w14:paraId="16605B21">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rPr>
      </w:pPr>
      <w:r>
        <w:rPr>
          <w:rFonts w:hint="eastAsia" w:ascii="仿宋" w:hAnsi="仿宋" w:eastAsia="仿宋"/>
        </w:rPr>
        <w:t>二是聚焦主责主业，教学科研质效并进。全年开办主体班 10 期、专题班 2 期、各类外来培训班 128 期，累计培训学员23787 人次；优化“3+1” 课程体系，斩获省级课程、教学成果奖项，创新沉浸式、教研咨一体化教学模式；科研立项、论文产出稳步增长，6 篇咨政报告获市领导 17 次批示，智库参谋作用凸显；教师下沉基层宣讲超 270 场次。</w:t>
      </w:r>
    </w:p>
    <w:p w14:paraId="61D5161F">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rPr>
      </w:pPr>
      <w:r>
        <w:rPr>
          <w:rFonts w:hint="eastAsia" w:ascii="仿宋" w:hAnsi="仿宋" w:eastAsia="仿宋"/>
        </w:rPr>
        <w:t>三是完善硬件配套，优化校园办学条件。推进教室智能化设备升级与校园微改造，提质升级红色教育主题公园，稳步推进党校大厦盘活改造与智慧校园数字化项目申报建设，育人硬件与数字化治理水平持续改善。</w:t>
      </w:r>
    </w:p>
    <w:p w14:paraId="2EF59D29">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rPr>
      </w:pPr>
      <w:r>
        <w:rPr>
          <w:rFonts w:hint="eastAsia" w:ascii="仿宋" w:hAnsi="仿宋" w:eastAsia="仿宋"/>
        </w:rPr>
        <w:t>四是做实人才引育，优化师资队伍结构。全年引进 3 名高层次教研人才，师资占比稳步提升；常态化组织师资参训培育，多名教师入选省级智库、讲师团队伍，人才梯队建设成效凸显。</w:t>
      </w:r>
    </w:p>
    <w:p w14:paraId="3E8B8F7E">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rPr>
      </w:pPr>
      <w:r>
        <w:rPr>
          <w:rFonts w:hint="eastAsia" w:ascii="仿宋" w:hAnsi="仿宋" w:eastAsia="仿宋"/>
        </w:rPr>
        <w:t>五是深化上下联动，拓宽资源协同格局。对上承办省级片区科研研讨会、对接省校调研交流；对下常态化帮扶县级党校师资培训、送教下乡；创新 “1+5+5+N” 宣讲服务体系，组建宣讲轻骑兵下沉乡村宣讲，相关宣讲创新项目获评市级创新大赛奖项，市县党校一体化建设与基层理论服务成效显著。</w:t>
      </w:r>
    </w:p>
    <w:p w14:paraId="76A4A0D5">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rPr>
      </w:pPr>
      <w:r>
        <w:rPr>
          <w:rFonts w:hint="eastAsia" w:ascii="仿宋" w:hAnsi="仿宋" w:eastAsia="仿宋"/>
        </w:rPr>
        <w:t>依据市委党校部门整体支出绩效目标申报表（202</w:t>
      </w:r>
      <w:r>
        <w:rPr>
          <w:rFonts w:hint="eastAsia" w:ascii="仿宋" w:hAnsi="仿宋" w:eastAsia="仿宋"/>
          <w:lang w:val="en-US" w:eastAsia="zh-CN"/>
        </w:rPr>
        <w:t>5</w:t>
      </w:r>
      <w:r>
        <w:rPr>
          <w:rFonts w:hint="eastAsia" w:ascii="仿宋" w:hAnsi="仿宋" w:eastAsia="仿宋"/>
        </w:rPr>
        <w:t>年度），市委党校的年度重点工作任务为4项。具体为：①202</w:t>
      </w:r>
      <w:r>
        <w:rPr>
          <w:rFonts w:hint="eastAsia" w:ascii="仿宋" w:hAnsi="仿宋" w:eastAsia="仿宋"/>
          <w:lang w:val="en-US" w:eastAsia="zh-CN"/>
        </w:rPr>
        <w:t>5</w:t>
      </w:r>
      <w:r>
        <w:rPr>
          <w:rFonts w:hint="eastAsia" w:ascii="仿宋" w:hAnsi="仿宋" w:eastAsia="仿宋"/>
        </w:rPr>
        <w:t>年主体班次培训工作。②《漠江学萃》办刊工作。③科研工作任务。④党校教师主体培训班学习。</w:t>
      </w:r>
    </w:p>
    <w:p w14:paraId="05AAF489">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ascii="楷体_GB2312" w:eastAsia="楷体_GB2312"/>
          <w:b/>
          <w:bCs/>
          <w:szCs w:val="32"/>
        </w:rPr>
      </w:pPr>
      <w:r>
        <w:rPr>
          <w:rFonts w:hint="eastAsia" w:ascii="楷体_GB2312" w:eastAsia="楷体_GB2312"/>
          <w:b/>
          <w:bCs/>
          <w:szCs w:val="32"/>
        </w:rPr>
        <w:t>（三）</w:t>
      </w:r>
      <w:bookmarkEnd w:id="8"/>
      <w:bookmarkEnd w:id="9"/>
      <w:r>
        <w:rPr>
          <w:rFonts w:hint="eastAsia" w:ascii="楷体_GB2312" w:eastAsia="楷体_GB2312"/>
          <w:b/>
          <w:bCs/>
          <w:szCs w:val="32"/>
        </w:rPr>
        <w:t>部门整体支出情况</w:t>
      </w:r>
    </w:p>
    <w:p w14:paraId="5A4D78BE">
      <w:pPr>
        <w:keepNext w:val="0"/>
        <w:keepLines w:val="0"/>
        <w:widowControl/>
        <w:suppressLineNumbers w:val="0"/>
        <w:ind w:firstLine="616" w:firstLineChars="200"/>
        <w:jc w:val="left"/>
        <w:rPr>
          <w:rFonts w:hint="eastAsia" w:ascii="仿宋_GB2312" w:hAnsi="仿宋_GB2312" w:cs="仿宋_GB2312"/>
          <w:bCs/>
          <w:szCs w:val="32"/>
        </w:rPr>
      </w:pPr>
      <w:r>
        <w:rPr>
          <w:rFonts w:hint="eastAsia" w:ascii="仿宋_GB2312" w:hAnsi="仿宋_GB2312" w:cs="仿宋_GB2312"/>
          <w:bCs/>
          <w:szCs w:val="32"/>
        </w:rPr>
        <w:t>202</w:t>
      </w:r>
      <w:r>
        <w:rPr>
          <w:rFonts w:hint="eastAsia" w:ascii="仿宋_GB2312" w:hAnsi="仿宋_GB2312" w:cs="仿宋_GB2312"/>
          <w:bCs/>
          <w:szCs w:val="32"/>
          <w:lang w:val="en-US" w:eastAsia="zh-CN"/>
        </w:rPr>
        <w:t>5</w:t>
      </w:r>
      <w:r>
        <w:rPr>
          <w:rFonts w:hint="eastAsia" w:ascii="仿宋_GB2312" w:hAnsi="仿宋_GB2312" w:cs="仿宋_GB2312"/>
          <w:bCs/>
          <w:szCs w:val="32"/>
        </w:rPr>
        <w:t>年市委党校年初预算收入为 13</w:t>
      </w:r>
      <w:r>
        <w:rPr>
          <w:rFonts w:hint="eastAsia" w:ascii="仿宋_GB2312" w:hAnsi="仿宋_GB2312" w:cs="仿宋_GB2312"/>
          <w:bCs/>
          <w:szCs w:val="32"/>
          <w:lang w:val="en-US" w:eastAsia="zh-CN"/>
        </w:rPr>
        <w:t>10</w:t>
      </w:r>
      <w:r>
        <w:rPr>
          <w:rFonts w:hint="eastAsia" w:ascii="仿宋_GB2312" w:hAnsi="仿宋_GB2312" w:cs="仿宋_GB2312"/>
          <w:bCs/>
          <w:szCs w:val="32"/>
        </w:rPr>
        <w:t>.00</w:t>
      </w:r>
      <w:r>
        <w:rPr>
          <w:rFonts w:hint="eastAsia" w:ascii="仿宋_GB2312" w:hAnsi="仿宋_GB2312" w:cs="仿宋_GB2312"/>
          <w:bCs/>
          <w:szCs w:val="32"/>
          <w:lang w:val="en-US" w:eastAsia="zh-CN"/>
        </w:rPr>
        <w:t>万</w:t>
      </w:r>
      <w:r>
        <w:rPr>
          <w:rFonts w:hint="eastAsia" w:ascii="仿宋_GB2312" w:hAnsi="仿宋_GB2312" w:cs="仿宋_GB2312"/>
          <w:bCs/>
          <w:szCs w:val="32"/>
        </w:rPr>
        <w:t>元，决算收入为 1</w:t>
      </w:r>
      <w:r>
        <w:rPr>
          <w:rFonts w:hint="eastAsia" w:ascii="仿宋_GB2312" w:hAnsi="仿宋_GB2312" w:cs="仿宋_GB2312"/>
          <w:bCs/>
          <w:szCs w:val="32"/>
          <w:lang w:val="en-US" w:eastAsia="zh-CN"/>
        </w:rPr>
        <w:t>640万</w:t>
      </w:r>
      <w:r>
        <w:rPr>
          <w:rFonts w:hint="eastAsia" w:ascii="仿宋_GB2312" w:hAnsi="仿宋_GB2312" w:cs="仿宋_GB2312"/>
          <w:bCs/>
          <w:szCs w:val="32"/>
        </w:rPr>
        <w:t>元</w:t>
      </w:r>
      <w:r>
        <w:rPr>
          <w:rFonts w:hint="eastAsia" w:ascii="仿宋_GB2312" w:hAnsi="仿宋_GB2312" w:cs="仿宋_GB2312"/>
          <w:bCs/>
          <w:szCs w:val="32"/>
          <w:lang w:eastAsia="zh-CN"/>
        </w:rPr>
        <w:t>。</w:t>
      </w:r>
      <w:r>
        <w:rPr>
          <w:rFonts w:hint="eastAsia" w:ascii="仿宋_GB2312" w:hAnsi="仿宋_GB2312" w:cs="仿宋_GB2312"/>
          <w:bCs/>
          <w:szCs w:val="32"/>
        </w:rPr>
        <w:t>截至 202</w:t>
      </w:r>
      <w:r>
        <w:rPr>
          <w:rFonts w:hint="eastAsia" w:ascii="仿宋_GB2312" w:hAnsi="仿宋_GB2312" w:cs="仿宋_GB2312"/>
          <w:bCs/>
          <w:szCs w:val="32"/>
          <w:lang w:val="en-US" w:eastAsia="zh-CN"/>
        </w:rPr>
        <w:t>5</w:t>
      </w:r>
      <w:r>
        <w:rPr>
          <w:rFonts w:hint="eastAsia" w:ascii="仿宋_GB2312" w:hAnsi="仿宋_GB2312" w:cs="仿宋_GB2312"/>
          <w:bCs/>
          <w:szCs w:val="32"/>
        </w:rPr>
        <w:t>年12月31日</w:t>
      </w:r>
      <w:r>
        <w:rPr>
          <w:rFonts w:hint="eastAsia" w:ascii="仿宋_GB2312" w:hAnsi="仿宋_GB2312" w:cs="仿宋_GB2312"/>
          <w:bCs/>
          <w:szCs w:val="32"/>
          <w:lang w:eastAsia="zh-CN"/>
        </w:rPr>
        <w:t>，</w:t>
      </w:r>
      <w:r>
        <w:rPr>
          <w:rFonts w:hint="eastAsia" w:ascii="仿宋_GB2312" w:hAnsi="仿宋_GB2312" w:cs="仿宋_GB2312"/>
          <w:bCs/>
          <w:szCs w:val="32"/>
        </w:rPr>
        <w:t xml:space="preserve">市委党校整体支出决算为 </w:t>
      </w:r>
      <w:r>
        <w:rPr>
          <w:rFonts w:hint="eastAsia" w:ascii="仿宋_GB2312" w:hAnsi="仿宋_GB2312" w:cs="仿宋_GB2312"/>
          <w:bCs/>
          <w:szCs w:val="32"/>
          <w:lang w:val="en-US" w:eastAsia="zh-CN"/>
        </w:rPr>
        <w:t>1556</w:t>
      </w:r>
      <w:r>
        <w:rPr>
          <w:rFonts w:hint="eastAsia" w:ascii="仿宋_GB2312" w:hAnsi="仿宋_GB2312" w:cs="仿宋_GB2312"/>
          <w:bCs/>
          <w:color w:val="auto"/>
          <w:szCs w:val="32"/>
          <w:highlight w:val="none"/>
          <w:lang w:val="en-US" w:eastAsia="zh-CN"/>
        </w:rPr>
        <w:t>.</w:t>
      </w:r>
      <w:r>
        <w:rPr>
          <w:rFonts w:hint="eastAsia" w:ascii="仿宋_GB2312" w:hAnsi="仿宋_GB2312" w:cs="仿宋_GB2312"/>
          <w:bCs/>
          <w:szCs w:val="32"/>
          <w:lang w:val="en-US" w:eastAsia="zh-CN"/>
        </w:rPr>
        <w:t>01万</w:t>
      </w:r>
      <w:r>
        <w:rPr>
          <w:rFonts w:hint="eastAsia" w:ascii="仿宋_GB2312" w:hAnsi="仿宋_GB2312" w:cs="仿宋_GB2312"/>
          <w:bCs/>
          <w:szCs w:val="32"/>
        </w:rPr>
        <w:t>元。“三公”</w:t>
      </w:r>
      <w:r>
        <w:rPr>
          <w:rFonts w:hint="eastAsia" w:ascii="仿宋" w:hAnsi="仿宋" w:eastAsia="仿宋" w:cs="仿宋"/>
        </w:rPr>
        <w:t>经费及公用经费控制情况：“三公”经费实际支出数</w:t>
      </w:r>
      <w:r>
        <w:rPr>
          <w:rFonts w:hint="eastAsia" w:ascii="仿宋" w:hAnsi="仿宋" w:eastAsia="仿宋" w:cs="仿宋"/>
          <w:lang w:val="en-US" w:eastAsia="zh-CN"/>
        </w:rPr>
        <w:t>5.42</w:t>
      </w:r>
      <w:r>
        <w:rPr>
          <w:rFonts w:hint="eastAsia" w:ascii="仿宋" w:hAnsi="仿宋" w:eastAsia="仿宋" w:cs="仿宋"/>
        </w:rPr>
        <w:t>万元≤预算安排的</w:t>
      </w:r>
      <w:r>
        <w:rPr>
          <w:rFonts w:hint="eastAsia" w:ascii="仿宋_GB2312" w:hAnsi="仿宋_GB2312" w:cs="仿宋_GB2312"/>
          <w:bCs/>
          <w:szCs w:val="32"/>
        </w:rPr>
        <w:t>“三公”</w:t>
      </w:r>
      <w:r>
        <w:rPr>
          <w:rFonts w:hint="eastAsia" w:ascii="仿宋" w:hAnsi="仿宋" w:eastAsia="仿宋" w:cs="仿宋"/>
        </w:rPr>
        <w:t>经费数</w:t>
      </w:r>
      <w:r>
        <w:rPr>
          <w:rFonts w:hint="eastAsia" w:ascii="仿宋" w:hAnsi="仿宋" w:eastAsia="仿宋" w:cs="仿宋"/>
          <w:lang w:val="en-US" w:eastAsia="zh-CN"/>
        </w:rPr>
        <w:t>7.10</w:t>
      </w:r>
      <w:r>
        <w:rPr>
          <w:rFonts w:hint="eastAsia" w:ascii="仿宋" w:hAnsi="仿宋" w:eastAsia="仿宋" w:cs="仿宋"/>
        </w:rPr>
        <w:t>万元</w:t>
      </w:r>
      <w:r>
        <w:rPr>
          <w:rFonts w:hint="eastAsia" w:ascii="仿宋" w:hAnsi="仿宋" w:eastAsia="仿宋" w:cs="仿宋"/>
          <w:lang w:eastAsia="zh-CN"/>
        </w:rPr>
        <w:t>，</w:t>
      </w:r>
      <w:r>
        <w:rPr>
          <w:rFonts w:hint="eastAsia" w:ascii="仿宋" w:hAnsi="仿宋" w:eastAsia="仿宋" w:cs="仿宋"/>
          <w:lang w:val="en-US" w:eastAsia="zh-CN"/>
        </w:rPr>
        <w:t>预决算差异率-23.69%</w:t>
      </w:r>
      <w:r>
        <w:rPr>
          <w:rFonts w:hint="eastAsia" w:ascii="仿宋" w:hAnsi="仿宋" w:eastAsia="仿宋" w:cs="仿宋"/>
        </w:rPr>
        <w:t>；日常公用经费决算数</w:t>
      </w:r>
      <w:r>
        <w:rPr>
          <w:rFonts w:hint="eastAsia" w:ascii="仿宋" w:hAnsi="仿宋" w:eastAsia="仿宋" w:cs="仿宋"/>
          <w:lang w:val="en-US" w:eastAsia="zh-CN"/>
        </w:rPr>
        <w:t>93.26</w:t>
      </w:r>
      <w:r>
        <w:rPr>
          <w:rFonts w:hint="eastAsia" w:ascii="仿宋" w:hAnsi="仿宋" w:eastAsia="仿宋" w:cs="仿宋"/>
        </w:rPr>
        <w:t>万元与日常公用经费调整预算数</w:t>
      </w:r>
      <w:r>
        <w:rPr>
          <w:rFonts w:hint="eastAsia" w:ascii="仿宋" w:hAnsi="仿宋" w:eastAsia="仿宋" w:cs="仿宋"/>
          <w:lang w:val="en-US" w:eastAsia="zh-CN"/>
        </w:rPr>
        <w:t>93.26</w:t>
      </w:r>
      <w:r>
        <w:rPr>
          <w:rFonts w:hint="eastAsia" w:ascii="仿宋" w:hAnsi="仿宋" w:eastAsia="仿宋" w:cs="仿宋"/>
        </w:rPr>
        <w:t>万元</w:t>
      </w:r>
      <w:r>
        <w:rPr>
          <w:rFonts w:hint="eastAsia" w:ascii="仿宋" w:hAnsi="仿宋" w:eastAsia="仿宋" w:cs="仿宋"/>
          <w:lang w:val="en-US" w:eastAsia="zh-CN"/>
        </w:rPr>
        <w:t>一致</w:t>
      </w:r>
      <w:r>
        <w:rPr>
          <w:rFonts w:hint="eastAsia" w:ascii="仿宋" w:hAnsi="仿宋" w:eastAsia="仿宋" w:cs="仿宋"/>
        </w:rPr>
        <w:t>。</w:t>
      </w:r>
    </w:p>
    <w:p w14:paraId="75526EA7">
      <w:pPr>
        <w:adjustRightInd/>
        <w:spacing w:line="640" w:lineRule="exact"/>
        <w:ind w:firstLine="616" w:firstLineChars="200"/>
        <w:rPr>
          <w:rFonts w:hint="eastAsia" w:ascii="仿宋" w:hAnsi="仿宋" w:eastAsia="仿宋"/>
          <w:szCs w:val="34"/>
          <w:lang w:val="en-US" w:eastAsia="zh-CN"/>
        </w:rPr>
      </w:pPr>
      <w:r>
        <w:rPr>
          <w:rFonts w:hint="eastAsia" w:ascii="仿宋" w:hAnsi="仿宋" w:eastAsia="仿宋"/>
          <w:szCs w:val="34"/>
        </w:rPr>
        <w:t>202</w:t>
      </w:r>
      <w:r>
        <w:rPr>
          <w:rFonts w:hint="eastAsia" w:ascii="仿宋" w:hAnsi="仿宋" w:eastAsia="仿宋"/>
          <w:szCs w:val="34"/>
          <w:lang w:val="en-US" w:eastAsia="zh-CN"/>
        </w:rPr>
        <w:t>5</w:t>
      </w:r>
      <w:r>
        <w:rPr>
          <w:rFonts w:hint="eastAsia" w:ascii="仿宋" w:hAnsi="仿宋" w:eastAsia="仿宋"/>
          <w:szCs w:val="34"/>
        </w:rPr>
        <w:t>年本部门在预算编制和执行上严格执行《预算法》规定，没有随意调整预算的情况，各项收支均纳入预算管理；不存在挪用专项用途的财政资金，严格执行专项资金使用管理办法的要求，做到专款专用；基本上能按照批准的预算以收定支，管好用好财政资金，坚持“以收定支”，落实落细过“紧日子”要求压减一般性支出，日常公用经费使用合理。</w:t>
      </w:r>
      <w:r>
        <w:rPr>
          <w:rFonts w:hint="eastAsia" w:ascii="仿宋" w:hAnsi="仿宋" w:eastAsia="仿宋"/>
          <w:szCs w:val="34"/>
          <w:lang w:val="en-US" w:eastAsia="zh-CN"/>
        </w:rPr>
        <w:t>牢固树立可持续发展理念，从严从紧管好财政支出，压减一般性支出。</w:t>
      </w:r>
    </w:p>
    <w:p w14:paraId="28AB4307">
      <w:pPr>
        <w:pStyle w:val="7"/>
      </w:pPr>
    </w:p>
    <w:p w14:paraId="669196F5">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hint="eastAsia" w:ascii="仿宋" w:hAnsi="仿宋" w:eastAsia="楷体_GB2312"/>
          <w:lang w:val="en-US" w:eastAsia="zh-CN"/>
        </w:rPr>
      </w:pPr>
      <w:r>
        <w:rPr>
          <w:rFonts w:hint="eastAsia" w:ascii="楷体_GB2312" w:eastAsia="楷体_GB2312"/>
          <w:b/>
          <w:bCs/>
          <w:szCs w:val="32"/>
        </w:rPr>
        <w:t>（四）部门整体支出绩效目标</w:t>
      </w:r>
      <w:bookmarkStart w:id="10" w:name="_Toc4514_WPSOffice_Level1"/>
      <w:bookmarkStart w:id="11" w:name="_Toc22180"/>
    </w:p>
    <w:p w14:paraId="5C3C2F9A">
      <w:pPr>
        <w:spacing w:line="640" w:lineRule="exact"/>
        <w:ind w:firstLine="616" w:firstLineChars="200"/>
        <w:rPr>
          <w:rFonts w:hint="eastAsia" w:ascii="仿宋" w:hAnsi="仿宋" w:eastAsia="仿宋" w:cs="仿宋"/>
          <w:sz w:val="32"/>
          <w:szCs w:val="32"/>
        </w:rPr>
      </w:pPr>
      <w:r>
        <w:rPr>
          <w:rFonts w:hint="eastAsia" w:ascii="仿宋" w:hAnsi="仿宋" w:eastAsia="仿宋"/>
          <w:lang w:val="en-US" w:eastAsia="zh-CN"/>
        </w:rPr>
        <w:t>市委党校2025年部门整体支出绩效目标申报表，部门年度绩效目标为4项。具体绩效目</w:t>
      </w:r>
      <w:r>
        <w:rPr>
          <w:rFonts w:hint="eastAsia" w:ascii="仿宋" w:hAnsi="仿宋" w:eastAsia="仿宋" w:cs="仿宋"/>
          <w:sz w:val="32"/>
          <w:szCs w:val="32"/>
        </w:rPr>
        <w:t>标情况如下：</w:t>
      </w:r>
    </w:p>
    <w:tbl>
      <w:tblPr>
        <w:tblStyle w:val="9"/>
        <w:tblpPr w:leftFromText="180" w:rightFromText="180" w:vertAnchor="text" w:horzAnchor="page" w:tblpX="1900" w:tblpY="623"/>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520"/>
        <w:gridCol w:w="1387"/>
        <w:gridCol w:w="4227"/>
      </w:tblGrid>
      <w:tr w14:paraId="47D6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6" w:type="dxa"/>
            <w:noWrap w:val="0"/>
            <w:vAlign w:val="top"/>
          </w:tcPr>
          <w:p w14:paraId="2A9D3F36">
            <w:pPr>
              <w:jc w:val="center"/>
              <w:rPr>
                <w:rFonts w:hint="eastAsia" w:ascii="仿宋" w:hAnsi="仿宋" w:eastAsia="仿宋" w:cs="仿宋"/>
                <w:b/>
                <w:sz w:val="22"/>
                <w:szCs w:val="22"/>
              </w:rPr>
            </w:pPr>
            <w:r>
              <w:rPr>
                <w:rFonts w:hint="eastAsia" w:ascii="仿宋" w:hAnsi="仿宋" w:eastAsia="仿宋" w:cs="仿宋"/>
                <w:b/>
                <w:sz w:val="22"/>
                <w:szCs w:val="22"/>
              </w:rPr>
              <w:t>项目</w:t>
            </w:r>
          </w:p>
        </w:tc>
        <w:tc>
          <w:tcPr>
            <w:tcW w:w="1520" w:type="dxa"/>
            <w:noWrap w:val="0"/>
            <w:vAlign w:val="top"/>
          </w:tcPr>
          <w:p w14:paraId="47EFE0FC">
            <w:pPr>
              <w:jc w:val="center"/>
              <w:rPr>
                <w:rFonts w:hint="eastAsia" w:ascii="仿宋" w:hAnsi="仿宋" w:eastAsia="仿宋" w:cs="仿宋"/>
                <w:b/>
                <w:sz w:val="22"/>
                <w:szCs w:val="22"/>
                <w:lang w:eastAsia="zh-CN"/>
              </w:rPr>
            </w:pPr>
            <w:r>
              <w:rPr>
                <w:rFonts w:hint="eastAsia" w:ascii="仿宋" w:hAnsi="仿宋" w:eastAsia="仿宋" w:cs="仿宋"/>
                <w:b/>
                <w:sz w:val="22"/>
                <w:szCs w:val="22"/>
              </w:rPr>
              <w:t>预算数</w:t>
            </w:r>
            <w:r>
              <w:rPr>
                <w:rFonts w:hint="eastAsia" w:ascii="仿宋" w:hAnsi="仿宋" w:eastAsia="仿宋" w:cs="仿宋"/>
                <w:b/>
                <w:sz w:val="22"/>
                <w:szCs w:val="22"/>
                <w:lang w:eastAsia="zh-CN"/>
              </w:rPr>
              <w:t>（</w:t>
            </w:r>
            <w:r>
              <w:rPr>
                <w:rFonts w:hint="eastAsia" w:ascii="仿宋" w:hAnsi="仿宋" w:eastAsia="仿宋" w:cs="仿宋"/>
                <w:b/>
                <w:sz w:val="22"/>
                <w:szCs w:val="22"/>
                <w:lang w:val="en-US" w:eastAsia="zh-CN"/>
              </w:rPr>
              <w:t>单位：万元</w:t>
            </w:r>
            <w:r>
              <w:rPr>
                <w:rFonts w:hint="eastAsia" w:ascii="仿宋" w:hAnsi="仿宋" w:eastAsia="仿宋" w:cs="仿宋"/>
                <w:b/>
                <w:sz w:val="22"/>
                <w:szCs w:val="22"/>
                <w:lang w:eastAsia="zh-CN"/>
              </w:rPr>
              <w:t>）</w:t>
            </w:r>
          </w:p>
        </w:tc>
        <w:tc>
          <w:tcPr>
            <w:tcW w:w="1387" w:type="dxa"/>
            <w:noWrap w:val="0"/>
            <w:vAlign w:val="top"/>
          </w:tcPr>
          <w:p w14:paraId="6DB62C0B">
            <w:pPr>
              <w:jc w:val="center"/>
              <w:rPr>
                <w:rFonts w:hint="eastAsia" w:ascii="仿宋" w:hAnsi="仿宋" w:eastAsia="仿宋" w:cs="仿宋"/>
                <w:b/>
                <w:sz w:val="22"/>
                <w:szCs w:val="22"/>
              </w:rPr>
            </w:pPr>
            <w:r>
              <w:rPr>
                <w:rFonts w:hint="eastAsia" w:ascii="仿宋" w:hAnsi="仿宋" w:eastAsia="仿宋" w:cs="仿宋"/>
                <w:b/>
                <w:sz w:val="22"/>
                <w:szCs w:val="22"/>
                <w:lang w:val="en-US" w:eastAsia="zh-CN"/>
              </w:rPr>
              <w:t>执行</w:t>
            </w:r>
            <w:r>
              <w:rPr>
                <w:rFonts w:hint="eastAsia" w:ascii="仿宋" w:hAnsi="仿宋" w:eastAsia="仿宋" w:cs="仿宋"/>
                <w:b/>
                <w:sz w:val="22"/>
                <w:szCs w:val="22"/>
              </w:rPr>
              <w:t>数</w:t>
            </w:r>
            <w:r>
              <w:rPr>
                <w:rFonts w:hint="eastAsia" w:ascii="仿宋" w:hAnsi="仿宋" w:eastAsia="仿宋" w:cs="仿宋"/>
                <w:b/>
                <w:sz w:val="22"/>
                <w:szCs w:val="22"/>
                <w:lang w:eastAsia="zh-CN"/>
              </w:rPr>
              <w:t>（</w:t>
            </w:r>
            <w:r>
              <w:rPr>
                <w:rFonts w:hint="eastAsia" w:ascii="仿宋" w:hAnsi="仿宋" w:eastAsia="仿宋" w:cs="仿宋"/>
                <w:b/>
                <w:sz w:val="22"/>
                <w:szCs w:val="22"/>
                <w:lang w:val="en-US" w:eastAsia="zh-CN"/>
              </w:rPr>
              <w:t>单位：万元</w:t>
            </w:r>
            <w:r>
              <w:rPr>
                <w:rFonts w:hint="eastAsia" w:ascii="仿宋" w:hAnsi="仿宋" w:eastAsia="仿宋" w:cs="仿宋"/>
                <w:b/>
                <w:sz w:val="22"/>
                <w:szCs w:val="22"/>
                <w:lang w:eastAsia="zh-CN"/>
              </w:rPr>
              <w:t>）</w:t>
            </w:r>
          </w:p>
        </w:tc>
        <w:tc>
          <w:tcPr>
            <w:tcW w:w="4227" w:type="dxa"/>
            <w:noWrap w:val="0"/>
            <w:vAlign w:val="top"/>
          </w:tcPr>
          <w:p w14:paraId="5C448113">
            <w:pPr>
              <w:jc w:val="center"/>
              <w:rPr>
                <w:rFonts w:hint="eastAsia" w:ascii="仿宋" w:hAnsi="仿宋" w:eastAsia="仿宋" w:cs="仿宋"/>
                <w:b/>
                <w:sz w:val="22"/>
                <w:szCs w:val="22"/>
              </w:rPr>
            </w:pPr>
            <w:r>
              <w:rPr>
                <w:rFonts w:hint="eastAsia" w:ascii="仿宋" w:hAnsi="仿宋" w:eastAsia="仿宋" w:cs="仿宋"/>
                <w:b/>
                <w:sz w:val="22"/>
                <w:szCs w:val="22"/>
              </w:rPr>
              <w:t>绩效目标</w:t>
            </w:r>
          </w:p>
        </w:tc>
      </w:tr>
      <w:tr w14:paraId="51BA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666" w:type="dxa"/>
            <w:noWrap w:val="0"/>
            <w:vAlign w:val="top"/>
          </w:tcPr>
          <w:p w14:paraId="3109A067">
            <w:pP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合计</w:t>
            </w:r>
          </w:p>
        </w:tc>
        <w:tc>
          <w:tcPr>
            <w:tcW w:w="1520" w:type="dxa"/>
            <w:noWrap w:val="0"/>
            <w:vAlign w:val="top"/>
          </w:tcPr>
          <w:p w14:paraId="641CE07D">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90.50</w:t>
            </w:r>
          </w:p>
        </w:tc>
        <w:tc>
          <w:tcPr>
            <w:tcW w:w="1387" w:type="dxa"/>
            <w:noWrap w:val="0"/>
            <w:vAlign w:val="top"/>
          </w:tcPr>
          <w:p w14:paraId="369F0198">
            <w:pPr>
              <w:jc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81.65</w:t>
            </w:r>
          </w:p>
        </w:tc>
        <w:tc>
          <w:tcPr>
            <w:tcW w:w="4227" w:type="dxa"/>
            <w:noWrap w:val="0"/>
            <w:vAlign w:val="top"/>
          </w:tcPr>
          <w:p w14:paraId="632CB563">
            <w:pPr>
              <w:adjustRightInd/>
              <w:snapToGrid/>
              <w:spacing w:line="240" w:lineRule="auto"/>
              <w:ind w:firstLine="376" w:firstLineChars="200"/>
              <w:rPr>
                <w:rFonts w:hint="eastAsia" w:ascii="仿宋" w:hAnsi="仿宋" w:eastAsia="仿宋" w:cs="仿宋"/>
                <w:color w:val="000000"/>
                <w:sz w:val="20"/>
                <w:szCs w:val="20"/>
              </w:rPr>
            </w:pPr>
          </w:p>
        </w:tc>
      </w:tr>
      <w:tr w14:paraId="7298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666" w:type="dxa"/>
            <w:noWrap w:val="0"/>
            <w:vAlign w:val="top"/>
          </w:tcPr>
          <w:p w14:paraId="3354F77D">
            <w:pPr>
              <w:rPr>
                <w:rFonts w:hint="eastAsia" w:ascii="仿宋" w:hAnsi="仿宋" w:eastAsia="仿宋" w:cs="仿宋"/>
              </w:rPr>
            </w:pPr>
            <w:r>
              <w:rPr>
                <w:rFonts w:hint="eastAsia" w:ascii="仿宋" w:hAnsi="仿宋" w:eastAsia="仿宋" w:cs="仿宋"/>
                <w:color w:val="000000"/>
                <w:sz w:val="20"/>
                <w:szCs w:val="20"/>
              </w:rPr>
              <w:t>干部培训经费</w:t>
            </w:r>
          </w:p>
        </w:tc>
        <w:tc>
          <w:tcPr>
            <w:tcW w:w="1520" w:type="dxa"/>
            <w:noWrap w:val="0"/>
            <w:vAlign w:val="top"/>
          </w:tcPr>
          <w:p w14:paraId="267ACB71">
            <w:pPr>
              <w:jc w:val="center"/>
              <w:rPr>
                <w:rFonts w:hint="eastAsia" w:ascii="仿宋" w:hAnsi="仿宋" w:eastAsia="仿宋" w:cs="仿宋"/>
                <w:lang w:val="en-US" w:eastAsia="zh-CN"/>
              </w:rPr>
            </w:pPr>
            <w:r>
              <w:rPr>
                <w:rFonts w:hint="eastAsia" w:ascii="仿宋" w:hAnsi="仿宋" w:eastAsia="仿宋" w:cs="仿宋"/>
                <w:color w:val="000000"/>
                <w:sz w:val="20"/>
                <w:szCs w:val="20"/>
                <w:lang w:val="en-US" w:eastAsia="zh-CN"/>
              </w:rPr>
              <w:t>53.00</w:t>
            </w:r>
          </w:p>
        </w:tc>
        <w:tc>
          <w:tcPr>
            <w:tcW w:w="1387" w:type="dxa"/>
            <w:noWrap w:val="0"/>
            <w:vAlign w:val="top"/>
          </w:tcPr>
          <w:p w14:paraId="14A2DA12">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53.00</w:t>
            </w:r>
          </w:p>
        </w:tc>
        <w:tc>
          <w:tcPr>
            <w:tcW w:w="4227" w:type="dxa"/>
            <w:noWrap w:val="0"/>
            <w:vAlign w:val="top"/>
          </w:tcPr>
          <w:p w14:paraId="58C63893">
            <w:pPr>
              <w:adjustRightInd/>
              <w:snapToGrid/>
              <w:spacing w:line="240" w:lineRule="auto"/>
              <w:ind w:firstLine="376" w:firstLineChars="200"/>
              <w:rPr>
                <w:rFonts w:hint="eastAsia" w:ascii="仿宋" w:hAnsi="仿宋" w:eastAsia="仿宋" w:cs="仿宋"/>
                <w:color w:val="000000"/>
                <w:sz w:val="20"/>
                <w:szCs w:val="20"/>
              </w:rPr>
            </w:pPr>
            <w:r>
              <w:rPr>
                <w:rFonts w:hint="eastAsia" w:ascii="仿宋" w:hAnsi="仿宋" w:eastAsia="仿宋" w:cs="仿宋"/>
                <w:color w:val="000000"/>
                <w:sz w:val="20"/>
                <w:szCs w:val="20"/>
              </w:rPr>
              <w:t>目标1：承办好市委组织部交给的2025年度主体班次培训任务共约4期8个培训班，含中青年干部培训班约2期、县处级领导干部进修班约3期、科级干部培训班约3期。培训约400人次。</w:t>
            </w:r>
          </w:p>
          <w:p w14:paraId="2DE3A790">
            <w:pPr>
              <w:adjustRightInd/>
              <w:snapToGrid/>
              <w:spacing w:line="240" w:lineRule="auto"/>
              <w:ind w:firstLine="376" w:firstLineChars="200"/>
              <w:rPr>
                <w:rFonts w:hint="eastAsia" w:ascii="仿宋" w:hAnsi="仿宋" w:eastAsia="仿宋" w:cs="仿宋"/>
                <w:color w:val="000000"/>
                <w:sz w:val="20"/>
                <w:szCs w:val="20"/>
              </w:rPr>
            </w:pPr>
            <w:r>
              <w:rPr>
                <w:rFonts w:hint="eastAsia" w:ascii="仿宋" w:hAnsi="仿宋" w:eastAsia="仿宋" w:cs="仿宋"/>
                <w:color w:val="000000"/>
                <w:sz w:val="20"/>
                <w:szCs w:val="20"/>
              </w:rPr>
              <w:t>目标2：提高课程质量。继续推进名师名课工程，聘请省委党校教师、省高校教师、部门领导和专家来我校授课，丰富课程内容，提升教学水平。</w:t>
            </w:r>
          </w:p>
          <w:p w14:paraId="16883B83">
            <w:pPr>
              <w:adjustRightInd/>
              <w:snapToGrid/>
              <w:spacing w:line="240" w:lineRule="auto"/>
              <w:ind w:firstLine="376" w:firstLineChars="200"/>
              <w:rPr>
                <w:rFonts w:hint="eastAsia" w:ascii="仿宋" w:hAnsi="仿宋" w:eastAsia="仿宋" w:cs="仿宋"/>
                <w:sz w:val="20"/>
                <w:szCs w:val="20"/>
              </w:rPr>
            </w:pPr>
            <w:r>
              <w:rPr>
                <w:rFonts w:hint="eastAsia" w:ascii="仿宋" w:hAnsi="仿宋" w:eastAsia="仿宋" w:cs="仿宋"/>
                <w:color w:val="000000"/>
                <w:sz w:val="20"/>
                <w:szCs w:val="20"/>
              </w:rPr>
              <w:t>目标3：提升后勤服务水平，配备齐全后勤物资。目标4：通过培训，夯实学员的理论基础，增强党性修养，开阔世界眼光，培养战略思维，提高执政能力和水平，培养造就一批忠诚干净担当的高素质专业化干部队伍，为推动我市高质量发展，奋力在新征程上谱写阳江现代化建设新篇章提供坚强保证。</w:t>
            </w:r>
          </w:p>
        </w:tc>
      </w:tr>
      <w:tr w14:paraId="4E55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666" w:type="dxa"/>
            <w:noWrap w:val="0"/>
            <w:vAlign w:val="top"/>
          </w:tcPr>
          <w:p w14:paraId="3C5AB4E4">
            <w:pPr>
              <w:rPr>
                <w:rFonts w:hint="eastAsia" w:ascii="仿宋" w:hAnsi="仿宋" w:eastAsia="仿宋" w:cs="仿宋"/>
                <w:sz w:val="20"/>
                <w:szCs w:val="20"/>
              </w:rPr>
            </w:pPr>
            <w:r>
              <w:rPr>
                <w:rFonts w:hint="eastAsia" w:ascii="仿宋" w:hAnsi="仿宋" w:eastAsia="仿宋" w:cs="仿宋"/>
                <w:color w:val="000000"/>
                <w:kern w:val="0"/>
                <w:sz w:val="20"/>
                <w:szCs w:val="20"/>
              </w:rPr>
              <w:t>《漠江学萃》办刊经费</w:t>
            </w:r>
          </w:p>
        </w:tc>
        <w:tc>
          <w:tcPr>
            <w:tcW w:w="1520" w:type="dxa"/>
            <w:noWrap w:val="0"/>
            <w:vAlign w:val="top"/>
          </w:tcPr>
          <w:p w14:paraId="19B2E75B">
            <w:pPr>
              <w:jc w:val="center"/>
              <w:rPr>
                <w:rFonts w:hint="eastAsia" w:ascii="仿宋" w:hAnsi="仿宋" w:eastAsia="仿宋" w:cs="仿宋"/>
                <w:sz w:val="20"/>
                <w:szCs w:val="20"/>
                <w:lang w:val="en-US" w:eastAsia="zh-CN"/>
              </w:rPr>
            </w:pPr>
            <w:r>
              <w:rPr>
                <w:rFonts w:hint="eastAsia" w:ascii="仿宋" w:hAnsi="仿宋" w:eastAsia="仿宋" w:cs="仿宋"/>
                <w:color w:val="000000"/>
                <w:sz w:val="20"/>
                <w:szCs w:val="20"/>
                <w:lang w:val="en-US" w:eastAsia="zh-CN"/>
              </w:rPr>
              <w:t>10.00</w:t>
            </w:r>
          </w:p>
        </w:tc>
        <w:tc>
          <w:tcPr>
            <w:tcW w:w="1387" w:type="dxa"/>
            <w:noWrap w:val="0"/>
            <w:vAlign w:val="top"/>
          </w:tcPr>
          <w:p w14:paraId="3F1D4BBE">
            <w:pPr>
              <w:jc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9.93</w:t>
            </w:r>
          </w:p>
        </w:tc>
        <w:tc>
          <w:tcPr>
            <w:tcW w:w="4227" w:type="dxa"/>
            <w:noWrap w:val="0"/>
            <w:vAlign w:val="top"/>
          </w:tcPr>
          <w:p w14:paraId="0A045A87">
            <w:pPr>
              <w:rPr>
                <w:rFonts w:hint="eastAsia" w:ascii="仿宋" w:hAnsi="仿宋" w:eastAsia="仿宋" w:cs="仿宋"/>
                <w:sz w:val="20"/>
                <w:szCs w:val="20"/>
              </w:rPr>
            </w:pPr>
            <w:r>
              <w:rPr>
                <w:rFonts w:hint="eastAsia" w:ascii="仿宋" w:hAnsi="仿宋" w:eastAsia="仿宋" w:cs="仿宋"/>
                <w:color w:val="000000"/>
                <w:kern w:val="0"/>
                <w:sz w:val="20"/>
                <w:szCs w:val="20"/>
              </w:rPr>
              <w:t>编辑出版校刊《漠江学萃》4期，为我市经济社会发展提供应有的智力支持。</w:t>
            </w:r>
          </w:p>
        </w:tc>
      </w:tr>
      <w:tr w14:paraId="4977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noWrap w:val="0"/>
            <w:vAlign w:val="top"/>
          </w:tcPr>
          <w:p w14:paraId="1DFEDBEA">
            <w:pP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科研经费</w:t>
            </w:r>
          </w:p>
        </w:tc>
        <w:tc>
          <w:tcPr>
            <w:tcW w:w="1520" w:type="dxa"/>
            <w:noWrap w:val="0"/>
            <w:vAlign w:val="top"/>
          </w:tcPr>
          <w:p w14:paraId="66C2064A">
            <w:pPr>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5.00</w:t>
            </w:r>
          </w:p>
        </w:tc>
        <w:tc>
          <w:tcPr>
            <w:tcW w:w="1387" w:type="dxa"/>
            <w:noWrap w:val="0"/>
            <w:vAlign w:val="top"/>
          </w:tcPr>
          <w:p w14:paraId="43AA6A18">
            <w:pPr>
              <w:jc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4.98</w:t>
            </w:r>
          </w:p>
        </w:tc>
        <w:tc>
          <w:tcPr>
            <w:tcW w:w="4227" w:type="dxa"/>
            <w:noWrap w:val="0"/>
            <w:vAlign w:val="top"/>
          </w:tcPr>
          <w:p w14:paraId="27A29B3B">
            <w:pPr>
              <w:spacing w:line="640" w:lineRule="exact"/>
              <w:ind w:firstLine="376" w:firstLineChars="200"/>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为市委市政府决策资询服务，在哲学社会科学方面的理论和实践创新方面作出贡献。</w:t>
            </w:r>
          </w:p>
        </w:tc>
      </w:tr>
      <w:tr w14:paraId="5462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noWrap w:val="0"/>
            <w:vAlign w:val="top"/>
          </w:tcPr>
          <w:p w14:paraId="53529116">
            <w:pP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党校教师主体培训班学习</w:t>
            </w:r>
          </w:p>
        </w:tc>
        <w:tc>
          <w:tcPr>
            <w:tcW w:w="1520" w:type="dxa"/>
            <w:noWrap w:val="0"/>
            <w:vAlign w:val="top"/>
          </w:tcPr>
          <w:p w14:paraId="1EC3FB7B">
            <w:pPr>
              <w:jc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22.5</w:t>
            </w:r>
          </w:p>
        </w:tc>
        <w:tc>
          <w:tcPr>
            <w:tcW w:w="1387" w:type="dxa"/>
            <w:noWrap w:val="0"/>
            <w:vAlign w:val="top"/>
          </w:tcPr>
          <w:p w14:paraId="0008ABA4">
            <w:pPr>
              <w:jc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13.74</w:t>
            </w:r>
          </w:p>
        </w:tc>
        <w:tc>
          <w:tcPr>
            <w:tcW w:w="4227" w:type="dxa"/>
            <w:noWrap w:val="0"/>
            <w:vAlign w:val="top"/>
          </w:tcPr>
          <w:p w14:paraId="3AF2450D">
            <w:pPr>
              <w:ind w:firstLine="376" w:firstLineChars="200"/>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提高党校系统教师素质及教学水平。</w:t>
            </w:r>
          </w:p>
        </w:tc>
      </w:tr>
    </w:tbl>
    <w:p w14:paraId="40FD7CAC">
      <w:pPr>
        <w:keepNext w:val="0"/>
        <w:keepLines w:val="0"/>
        <w:pageBreakBefore w:val="0"/>
        <w:kinsoku/>
        <w:wordWrap/>
        <w:overflowPunct/>
        <w:topLinePunct w:val="0"/>
        <w:autoSpaceDE/>
        <w:autoSpaceDN/>
        <w:bidi w:val="0"/>
        <w:adjustRightInd/>
        <w:spacing w:line="240" w:lineRule="auto"/>
        <w:rPr>
          <w:rFonts w:hint="eastAsia" w:ascii="仿宋" w:hAnsi="仿宋" w:eastAsia="仿宋" w:cs="Times New Roman"/>
          <w:kern w:val="2"/>
          <w:sz w:val="32"/>
          <w:szCs w:val="34"/>
          <w:lang w:val="en-US" w:eastAsia="zh-CN" w:bidi="ar-SA"/>
        </w:rPr>
      </w:pPr>
    </w:p>
    <w:p w14:paraId="4F8C6706">
      <w:pPr>
        <w:keepNext w:val="0"/>
        <w:keepLines w:val="0"/>
        <w:pageBreakBefore w:val="0"/>
        <w:widowControl w:val="0"/>
        <w:numPr>
          <w:ilvl w:val="0"/>
          <w:numId w:val="1"/>
        </w:numPr>
        <w:kinsoku/>
        <w:wordWrap/>
        <w:overflowPunct/>
        <w:topLinePunct w:val="0"/>
        <w:autoSpaceDE/>
        <w:autoSpaceDN/>
        <w:bidi w:val="0"/>
        <w:adjustRightInd/>
        <w:spacing w:line="540" w:lineRule="exact"/>
        <w:ind w:firstLine="616" w:firstLineChars="200"/>
        <w:textAlignment w:val="auto"/>
        <w:outlineLvl w:val="9"/>
        <w:rPr>
          <w:rFonts w:hint="eastAsia" w:ascii="方正小标宋简体" w:eastAsia="方正小标宋简体"/>
          <w:lang w:eastAsia="zh-CN"/>
        </w:rPr>
      </w:pPr>
      <w:r>
        <w:rPr>
          <w:rFonts w:hint="eastAsia" w:ascii="方正小标宋简体" w:eastAsia="方正小标宋简体"/>
          <w:lang w:eastAsia="zh-CN"/>
        </w:rPr>
        <w:t>上一年度绩效评价整改情况</w:t>
      </w:r>
    </w:p>
    <w:p w14:paraId="3B662E36">
      <w:pPr>
        <w:keepNext w:val="0"/>
        <w:keepLines w:val="0"/>
        <w:pageBreakBefore w:val="0"/>
        <w:widowControl w:val="0"/>
        <w:numPr>
          <w:ilvl w:val="0"/>
          <w:numId w:val="0"/>
        </w:numPr>
        <w:kinsoku/>
        <w:wordWrap/>
        <w:overflowPunct/>
        <w:topLinePunct w:val="0"/>
        <w:autoSpaceDE/>
        <w:autoSpaceDN/>
        <w:bidi w:val="0"/>
        <w:adjustRightIn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b/>
          <w:bCs/>
          <w:kern w:val="2"/>
          <w:sz w:val="32"/>
          <w:szCs w:val="34"/>
          <w:lang w:val="en-US" w:eastAsia="zh-CN" w:bidi="ar-SA"/>
        </w:rPr>
        <w:t>依据上一年度绩效自评复核结果、存在的问题情况：</w:t>
      </w:r>
      <w:r>
        <w:rPr>
          <w:rFonts w:hint="eastAsia" w:ascii="仿宋" w:hAnsi="仿宋" w:eastAsia="仿宋" w:cs="Times New Roman"/>
          <w:kern w:val="2"/>
          <w:sz w:val="32"/>
          <w:szCs w:val="34"/>
          <w:lang w:val="en-US" w:eastAsia="zh-CN" w:bidi="ar-SA"/>
        </w:rPr>
        <w:t>一是合同签订不规范，备案不及时，验收不到位。二是资产盘点要素不完善，缺乏标签化管理。三是财务处理不严谨，决算信息不完整。四是绩效指标设置不够合理，绩效自评质量有待提升。</w:t>
      </w:r>
      <w:r>
        <w:rPr>
          <w:rFonts w:hint="eastAsia" w:ascii="仿宋" w:hAnsi="仿宋" w:eastAsia="仿宋" w:cs="Times New Roman"/>
          <w:b/>
          <w:bCs/>
          <w:kern w:val="2"/>
          <w:sz w:val="32"/>
          <w:szCs w:val="34"/>
          <w:lang w:val="en-US" w:eastAsia="zh-CN" w:bidi="ar-SA"/>
        </w:rPr>
        <w:t>整改情况：</w:t>
      </w:r>
      <w:r>
        <w:rPr>
          <w:rFonts w:hint="eastAsia" w:ascii="仿宋" w:hAnsi="仿宋" w:eastAsia="仿宋" w:cs="Times New Roman"/>
          <w:kern w:val="2"/>
          <w:sz w:val="32"/>
          <w:szCs w:val="34"/>
          <w:lang w:val="en-US" w:eastAsia="zh-CN" w:bidi="ar-SA"/>
        </w:rPr>
        <w:t>一是规范合同签订流程，提高合同备案效率，加强验收规范管理。加强合同管理，规范签订流程，严格按照“应当在中标、成交通知书发出之日起三十日内，按照采购文件确定的事项签订政府采购合同”规定执行，避免不必要的审计风险。加强合同备案管理，对于在电子卖场实施的政府采购行为，严格按照“自合同签订之日起2个工作日内在采购网备案公开”规定及时备案，确保采购信息公开合规、及时。加强验收规范管理。加强组织验收工作，验收结论应完整、充实，切实反映验收合格情况；验收人员应签字、盖章等，确保验收基本信息完整、明确。二是加强固定资产管理，提升资产管理水平。严格按照其固定资产管理制度落实好资产管理工作，定期做好固定资产盘点，明确基本盘点信息（盘点时间、盘点人、盘点数量、存放地点、使用人、使用状况等）。定期更新维护固定资产台账，确保资产基本信息，如资产名称、取得日期、资产状态、存放地点、具体使用人、入账日期、资产分类等清晰、准确，溯源资产时确保能及时查找。三是加强财务内部控制，对于国有资产处置收入和出租出借收入或其他收入，除及时上缴国库外，落实好财务信息登记工作，及时在年度决算报表中体现相关数据，确保账实相符。四是加强绩效目标论证，提高绩效自评质量。加强指标设置论证工作，相关业务科室和财务科室共同参与讨论，注重指标设置的有效性、合理性、科学性，指标内容应清晰、明确、精炼，指标值应可量化考核，各指标内容应具有独立性，避免重复考核。必要时，组织专项培训、课程学习等，以训代练，逐步提高科室人员绩效目标管理水平，增强绩效管理技能。</w:t>
      </w:r>
    </w:p>
    <w:p w14:paraId="51A0C3ED">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ascii="方正小标宋简体" w:eastAsia="方正小标宋简体"/>
        </w:rPr>
      </w:pPr>
      <w:r>
        <w:rPr>
          <w:rFonts w:hint="eastAsia" w:ascii="方正小标宋简体" w:eastAsia="方正小标宋简体"/>
          <w:lang w:eastAsia="zh-CN"/>
        </w:rPr>
        <w:t>三</w:t>
      </w:r>
      <w:r>
        <w:rPr>
          <w:rFonts w:hint="eastAsia" w:ascii="方正小标宋简体" w:eastAsia="方正小标宋简体"/>
        </w:rPr>
        <w:t>、绩效自评结论</w:t>
      </w:r>
      <w:bookmarkEnd w:id="10"/>
      <w:bookmarkEnd w:id="11"/>
    </w:p>
    <w:p w14:paraId="687E774E">
      <w:pPr>
        <w:spacing w:beforeLines="0" w:afterLines="0"/>
        <w:ind w:firstLine="616" w:firstLineChars="200"/>
        <w:jc w:val="left"/>
        <w:rPr>
          <w:rFonts w:hint="eastAsia" w:ascii="仿宋" w:hAnsi="仿宋" w:eastAsia="仿宋" w:cs="Times New Roman"/>
          <w:b/>
          <w:bCs/>
          <w:kern w:val="2"/>
          <w:sz w:val="32"/>
          <w:szCs w:val="34"/>
          <w:lang w:val="en-US" w:eastAsia="zh-CN" w:bidi="ar-SA"/>
        </w:rPr>
      </w:pPr>
      <w:bookmarkStart w:id="12" w:name="_Toc23861"/>
      <w:bookmarkStart w:id="13" w:name="_Toc2072"/>
      <w:bookmarkStart w:id="14" w:name="_Toc2998_WPSOffice_Level1"/>
      <w:r>
        <w:rPr>
          <w:rFonts w:hint="eastAsia" w:ascii="仿宋_GB2312" w:hAnsi="华文仿宋" w:cs="仿宋_GB2312"/>
          <w:szCs w:val="32"/>
          <w:lang w:val="en-US" w:eastAsia="zh-CN"/>
        </w:rPr>
        <w:t>2025年度市委党校落实了各项年度重点工作任务，预期绩效指标完成程度高，整体履职效益较好。市委党校2025年度完成主要绩效：</w:t>
      </w:r>
    </w:p>
    <w:p w14:paraId="7744C626">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Times New Roman"/>
          <w:b/>
          <w:bCs/>
          <w:kern w:val="2"/>
          <w:sz w:val="32"/>
          <w:szCs w:val="34"/>
          <w:lang w:val="en-US" w:eastAsia="zh-CN" w:bidi="ar-SA"/>
        </w:rPr>
      </w:pPr>
      <w:r>
        <w:rPr>
          <w:rFonts w:hint="eastAsia" w:ascii="仿宋" w:hAnsi="仿宋" w:eastAsia="仿宋" w:cs="Times New Roman"/>
          <w:b/>
          <w:bCs/>
          <w:kern w:val="2"/>
          <w:sz w:val="32"/>
          <w:szCs w:val="34"/>
          <w:lang w:val="en-US" w:eastAsia="zh-CN" w:bidi="ar-SA"/>
        </w:rPr>
        <w:t>1.突出主业主课，扎实推进培训</w:t>
      </w:r>
    </w:p>
    <w:p w14:paraId="097FE788">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Times New Roman"/>
          <w:kern w:val="2"/>
          <w:sz w:val="32"/>
          <w:szCs w:val="34"/>
          <w:lang w:val="en-US" w:eastAsia="zh-CN" w:bidi="ar-SA"/>
        </w:rPr>
      </w:pPr>
      <w:r>
        <w:rPr>
          <w:rFonts w:hint="eastAsia" w:ascii="仿宋" w:hAnsi="仿宋" w:eastAsia="仿宋" w:cs="Times New Roman"/>
          <w:kern w:val="2"/>
          <w:sz w:val="32"/>
          <w:szCs w:val="34"/>
          <w:lang w:val="en-US" w:eastAsia="zh-CN" w:bidi="ar-SA"/>
        </w:rPr>
        <w:t>市委党校2025年度立足主责主业，发挥党校干部培训主阵地作用，完成各项培训任务。严格按照市委组织部《中共阳江市委组织部关于 2025年主体班次学员选调工作的通知》（阳组通〔2025〕8号）的调训计划开展主体班次培训，2025年全年举办主体班共8期，培训学员406人。其中：中青年干部培训班1期，培训40人次；县处级干部进修班3期，培训138人次；乡科级干部进修班3期，培训177人次；职级公务员培训班1期，培训51人次。圆满完成2025年培训任务。通过培训，夯实学员的理论基础，增强党性修养，开阔世界眼光，培养战略思维，提高执政能力和水平，努力提高领导干部的理论素养和党性修养。项目的实施对学员在日后岗位上的业务素质、服务态度、廉政意识、党性修养都有一定的提升，对社会发展有积极的推动作用。</w:t>
      </w:r>
    </w:p>
    <w:p w14:paraId="252E65A4">
      <w:pPr>
        <w:keepNext w:val="0"/>
        <w:keepLines w:val="0"/>
        <w:pageBreakBefore w:val="0"/>
        <w:kinsoku/>
        <w:wordWrap/>
        <w:overflowPunct/>
        <w:topLinePunct w:val="0"/>
        <w:autoSpaceDE/>
        <w:autoSpaceDN/>
        <w:bidi w:val="0"/>
        <w:adjustRightInd/>
        <w:spacing w:line="240" w:lineRule="auto"/>
        <w:ind w:firstLine="616"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4"/>
          <w:lang w:val="en-US" w:eastAsia="zh-CN" w:bidi="ar-SA"/>
        </w:rPr>
        <w:t>扎实推进名师名课战略，形成“本校教师+省市教授+党政领导+先进典型”师资模式。邀请市领导来党校为学员讲课，进一步拓宽了学员的视野，激发干事创业的热情和斗志，明确了发展思路，增强推动阳江经济社会高质量发展的信心和本领。在本校老师努力提高教学质量的同时，还邀请省委党校教师、省高校教师、部门专家来我校授课，组成一支庞大的高水平专兼职师资队伍，</w:t>
      </w:r>
      <w:r>
        <w:rPr>
          <w:rFonts w:hint="eastAsia" w:ascii="仿宋" w:hAnsi="仿宋" w:eastAsia="仿宋" w:cs="Times New Roman"/>
          <w:kern w:val="2"/>
          <w:sz w:val="32"/>
          <w:szCs w:val="32"/>
          <w:lang w:val="en-US" w:eastAsia="zh-CN" w:bidi="ar-SA"/>
        </w:rPr>
        <w:t>为学员带来丰盛的理论知识大餐，提升了主体班的课程质量。</w:t>
      </w:r>
    </w:p>
    <w:p w14:paraId="7966FFF1">
      <w:pPr>
        <w:keepNext w:val="0"/>
        <w:keepLines w:val="0"/>
        <w:pageBreakBefore w:val="0"/>
        <w:kinsoku/>
        <w:wordWrap/>
        <w:overflowPunct/>
        <w:topLinePunct w:val="0"/>
        <w:autoSpaceDE/>
        <w:autoSpaceDN/>
        <w:bidi w:val="0"/>
        <w:adjustRightInd/>
        <w:spacing w:line="240" w:lineRule="auto"/>
        <w:ind w:firstLine="616" w:firstLineChars="200"/>
        <w:rPr>
          <w:rFonts w:hint="eastAsia" w:ascii="仿宋" w:hAnsi="仿宋" w:eastAsia="仿宋" w:cs="Times New Roman"/>
          <w:b/>
          <w:bCs/>
          <w:kern w:val="2"/>
          <w:sz w:val="32"/>
          <w:szCs w:val="34"/>
          <w:lang w:val="en-US" w:eastAsia="zh-CN" w:bidi="ar-SA"/>
        </w:rPr>
      </w:pPr>
      <w:r>
        <w:rPr>
          <w:rFonts w:hint="eastAsia" w:ascii="仿宋" w:hAnsi="仿宋" w:eastAsia="仿宋" w:cs="Times New Roman"/>
          <w:b/>
          <w:bCs/>
          <w:kern w:val="2"/>
          <w:sz w:val="32"/>
          <w:szCs w:val="34"/>
          <w:lang w:val="en-US" w:eastAsia="zh-CN" w:bidi="ar-SA"/>
        </w:rPr>
        <w:t>2.拓宽理论研究，提升决策水平</w:t>
      </w:r>
    </w:p>
    <w:p w14:paraId="1EE57142">
      <w:pPr>
        <w:spacing w:beforeLines="0" w:afterLines="0"/>
        <w:ind w:firstLine="616" w:firstLineChars="200"/>
        <w:jc w:val="left"/>
        <w:rPr>
          <w:rFonts w:hint="eastAsia" w:ascii="仿宋_GB2312" w:hAnsi="华文仿宋" w:cs="仿宋_GB2312"/>
          <w:szCs w:val="32"/>
          <w:lang w:val="en-US" w:eastAsia="zh-CN"/>
        </w:rPr>
      </w:pPr>
      <w:r>
        <w:rPr>
          <w:rFonts w:hint="eastAsia" w:ascii="仿宋" w:hAnsi="仿宋" w:eastAsia="仿宋" w:cs="Times New Roman"/>
          <w:kern w:val="2"/>
          <w:sz w:val="32"/>
          <w:szCs w:val="34"/>
          <w:lang w:val="en-US" w:eastAsia="zh-CN" w:bidi="ar-SA"/>
        </w:rPr>
        <w:t>市委党校2025年紧扣党中央重大决策部署和省委、市委工作安排，以课题带动教学、以教学提升成果。2025年发表或入选研究成果30多篇，获课题立项14项、完成12项，课题数量特别是市厅级课题数量较去年大幅上升。2025年实际完成课题结题12项，发表论文23篇，其中省级公开刊物2篇，市级公开刊物4篇，市级内部刊物17篇。论文获奖8篇，省级精品课2项。聚焦市委、市政府中心工作精准发力，2025年报送关于打造绿能之都、“百千万工程”、构建海洋牧场产业链体系等主题决策咨询报告6篇、获市领导批示17次，智库的决策影响力进一步提升。</w:t>
      </w:r>
    </w:p>
    <w:p w14:paraId="5AAD8BD3">
      <w:pPr>
        <w:spacing w:beforeLines="0" w:afterLines="0"/>
        <w:ind w:firstLine="616" w:firstLineChars="200"/>
        <w:jc w:val="left"/>
        <w:rPr>
          <w:rFonts w:hint="eastAsia" w:ascii="仿宋" w:hAnsi="仿宋" w:eastAsia="仿宋" w:cs="Times New Roman"/>
          <w:kern w:val="2"/>
          <w:sz w:val="32"/>
          <w:szCs w:val="34"/>
          <w:lang w:val="en-US" w:eastAsia="zh-CN" w:bidi="ar-SA"/>
        </w:rPr>
      </w:pPr>
      <w:r>
        <w:rPr>
          <w:rFonts w:hint="eastAsia" w:ascii="仿宋" w:hAnsi="仿宋" w:eastAsia="仿宋" w:cs="Times New Roman"/>
          <w:kern w:val="2"/>
          <w:sz w:val="32"/>
          <w:szCs w:val="34"/>
          <w:lang w:val="en-US" w:eastAsia="zh-CN" w:bidi="ar-SA"/>
        </w:rPr>
        <w:t>2025年在财政资金进一步紧张的情况下，我校牢固树立真正过紧日子思想，坚持要把钱用在最急需的地方，用在最关键的地方，紧紧围绕干部培训目标和年初预算安排，统筹用好财政资金，发挥资金效能，始终坚持以习近平新时代中国特色社会主义思想为指导，以《中国共产党党校（行政学院）工作条例》为基本遵循，认真贯彻习近平总书记关于党校办学治校系列重要指示精神和党的二十大精神、省委“1310”具体部署和市委“433”工作安排，努力践行“为党育才、为党献策”的党校初心，充分发挥干部培训、思想引领、理论建设、决策咨询作用，坚持守正创新、真抓实干，把市委党校建设成为全市学习研究宣传习近平新时代中国特色社会主义思想的重要阵地，积极履职，强化管理，较好地完成了年度工作目标，为推动阳江综合实力实现新跃升贡献党校应有的智慧和力量。</w:t>
      </w:r>
    </w:p>
    <w:p w14:paraId="331E56F7">
      <w:pPr>
        <w:spacing w:beforeLines="0" w:afterLines="0"/>
        <w:ind w:firstLine="616" w:firstLineChars="200"/>
        <w:jc w:val="left"/>
        <w:rPr>
          <w:rFonts w:hint="eastAsia" w:ascii="仿宋" w:hAnsi="仿宋" w:eastAsia="仿宋" w:cs="Times New Roman"/>
          <w:b/>
          <w:bCs/>
          <w:kern w:val="2"/>
          <w:sz w:val="32"/>
          <w:szCs w:val="34"/>
          <w:lang w:val="en-US" w:eastAsia="zh-CN" w:bidi="ar-SA"/>
        </w:rPr>
      </w:pPr>
      <w:r>
        <w:rPr>
          <w:rFonts w:hint="eastAsia" w:ascii="仿宋" w:hAnsi="仿宋" w:eastAsia="仿宋" w:cs="Times New Roman"/>
          <w:b/>
          <w:bCs/>
          <w:kern w:val="2"/>
          <w:sz w:val="32"/>
          <w:szCs w:val="34"/>
          <w:lang w:val="en-US" w:eastAsia="zh-CN" w:bidi="ar-SA"/>
        </w:rPr>
        <w:t>1.经济性</w:t>
      </w:r>
      <w:bookmarkEnd w:id="12"/>
    </w:p>
    <w:p w14:paraId="2CE9730A">
      <w:pPr>
        <w:spacing w:beforeLines="0" w:afterLines="0"/>
        <w:ind w:firstLine="616" w:firstLineChars="200"/>
        <w:jc w:val="left"/>
        <w:rPr>
          <w:rFonts w:hint="eastAsia" w:ascii="仿宋" w:hAnsi="仿宋" w:eastAsia="仿宋" w:cs="Times New Roman"/>
          <w:kern w:val="2"/>
          <w:sz w:val="32"/>
          <w:szCs w:val="34"/>
          <w:lang w:val="en-US" w:eastAsia="zh-CN" w:bidi="ar-SA"/>
        </w:rPr>
      </w:pPr>
      <w:bookmarkStart w:id="15" w:name="_Toc19171"/>
      <w:r>
        <w:rPr>
          <w:rFonts w:hint="eastAsia" w:ascii="仿宋" w:hAnsi="仿宋" w:eastAsia="仿宋" w:cs="Times New Roman"/>
          <w:kern w:val="2"/>
          <w:sz w:val="32"/>
          <w:szCs w:val="34"/>
          <w:lang w:val="en-US" w:eastAsia="zh-CN" w:bidi="ar-SA"/>
        </w:rPr>
        <w:t>“三公”经费及公用经费控制情况：本年度实际支出的公用经费总额与预算安排的公用经费总额的比率控制情况：“三公”经费实际支出数5.42万元≤预算安排的三公经费数7.10万元；日常公用经费决算93.26万元与日常公用经费调整预算数93.26万元一致。</w:t>
      </w:r>
    </w:p>
    <w:p w14:paraId="52B787F1">
      <w:pPr>
        <w:spacing w:beforeLines="0" w:afterLines="0"/>
        <w:ind w:firstLine="616" w:firstLineChars="200"/>
        <w:jc w:val="left"/>
        <w:rPr>
          <w:rFonts w:hint="eastAsia" w:ascii="仿宋" w:hAnsi="仿宋" w:eastAsia="仿宋" w:cs="Times New Roman"/>
          <w:b/>
          <w:bCs/>
          <w:kern w:val="2"/>
          <w:sz w:val="32"/>
          <w:szCs w:val="34"/>
          <w:lang w:val="en-US" w:eastAsia="zh-CN" w:bidi="ar-SA"/>
        </w:rPr>
      </w:pPr>
      <w:r>
        <w:rPr>
          <w:rFonts w:hint="eastAsia" w:ascii="仿宋" w:hAnsi="仿宋" w:eastAsia="仿宋" w:cs="Times New Roman"/>
          <w:b/>
          <w:bCs/>
          <w:kern w:val="2"/>
          <w:sz w:val="32"/>
          <w:szCs w:val="34"/>
          <w:lang w:val="en-US" w:eastAsia="zh-CN" w:bidi="ar-SA"/>
        </w:rPr>
        <w:t>2.效率性</w:t>
      </w:r>
      <w:bookmarkEnd w:id="15"/>
    </w:p>
    <w:p w14:paraId="6F89C4EA">
      <w:pPr>
        <w:spacing w:beforeLines="0" w:afterLines="0"/>
        <w:ind w:firstLine="616" w:firstLineChars="200"/>
        <w:jc w:val="left"/>
        <w:rPr>
          <w:rFonts w:hint="eastAsia" w:ascii="仿宋" w:hAnsi="仿宋" w:eastAsia="仿宋" w:cs="Times New Roman"/>
          <w:kern w:val="2"/>
          <w:sz w:val="32"/>
          <w:szCs w:val="34"/>
          <w:lang w:val="en-US" w:eastAsia="zh-CN" w:bidi="ar-SA"/>
        </w:rPr>
      </w:pPr>
      <w:bookmarkStart w:id="16" w:name="_Toc15830"/>
      <w:r>
        <w:rPr>
          <w:rFonts w:hint="eastAsia" w:ascii="仿宋" w:hAnsi="仿宋" w:eastAsia="仿宋" w:cs="Times New Roman"/>
          <w:kern w:val="2"/>
          <w:sz w:val="32"/>
          <w:szCs w:val="34"/>
          <w:lang w:val="en-US" w:eastAsia="zh-CN" w:bidi="ar-SA"/>
        </w:rPr>
        <w:t>2025年部门项目支出全部保质保量按计划时间完成。绩效目标完成率100%。</w:t>
      </w:r>
    </w:p>
    <w:p w14:paraId="7AB7C76F">
      <w:pPr>
        <w:spacing w:beforeLines="0" w:afterLines="0"/>
        <w:ind w:firstLine="616" w:firstLineChars="200"/>
        <w:jc w:val="left"/>
        <w:rPr>
          <w:rFonts w:hint="eastAsia" w:ascii="仿宋" w:hAnsi="仿宋" w:eastAsia="仿宋" w:cs="Times New Roman"/>
          <w:b/>
          <w:bCs/>
          <w:kern w:val="2"/>
          <w:sz w:val="32"/>
          <w:szCs w:val="34"/>
          <w:lang w:val="en-US" w:eastAsia="zh-CN" w:bidi="ar-SA"/>
        </w:rPr>
      </w:pPr>
      <w:r>
        <w:rPr>
          <w:rFonts w:hint="eastAsia" w:ascii="仿宋" w:hAnsi="仿宋" w:eastAsia="仿宋" w:cs="Times New Roman"/>
          <w:b/>
          <w:bCs/>
          <w:kern w:val="2"/>
          <w:sz w:val="32"/>
          <w:szCs w:val="34"/>
          <w:lang w:val="en-US" w:eastAsia="zh-CN" w:bidi="ar-SA"/>
        </w:rPr>
        <w:t>3.效果性</w:t>
      </w:r>
      <w:bookmarkEnd w:id="16"/>
    </w:p>
    <w:p w14:paraId="46C83B6D">
      <w:pPr>
        <w:spacing w:beforeLines="0" w:afterLines="0"/>
        <w:ind w:firstLine="616" w:firstLineChars="200"/>
        <w:jc w:val="left"/>
        <w:rPr>
          <w:rFonts w:hint="eastAsia" w:ascii="仿宋" w:hAnsi="仿宋" w:eastAsia="仿宋" w:cs="Times New Roman"/>
          <w:b/>
          <w:bCs/>
          <w:kern w:val="2"/>
          <w:sz w:val="32"/>
          <w:szCs w:val="34"/>
          <w:lang w:val="en-US" w:eastAsia="zh-CN" w:bidi="ar-SA"/>
        </w:rPr>
      </w:pPr>
      <w:r>
        <w:rPr>
          <w:rFonts w:hint="eastAsia" w:ascii="仿宋" w:hAnsi="仿宋" w:eastAsia="仿宋" w:cs="Times New Roman"/>
          <w:b/>
          <w:bCs/>
          <w:kern w:val="2"/>
          <w:sz w:val="32"/>
          <w:szCs w:val="34"/>
          <w:lang w:val="en-US" w:eastAsia="zh-CN" w:bidi="ar-SA"/>
        </w:rPr>
        <w:t>（1）社会效益</w:t>
      </w:r>
    </w:p>
    <w:p w14:paraId="562F9A98">
      <w:pPr>
        <w:spacing w:beforeLines="0" w:afterLines="0"/>
        <w:ind w:firstLine="616" w:firstLineChars="200"/>
        <w:jc w:val="left"/>
        <w:rPr>
          <w:rFonts w:hint="eastAsia" w:ascii="仿宋" w:hAnsi="仿宋" w:eastAsia="仿宋" w:cs="Times New Roman"/>
          <w:kern w:val="2"/>
          <w:sz w:val="32"/>
          <w:szCs w:val="34"/>
          <w:lang w:val="en-US" w:eastAsia="zh-CN" w:bidi="ar-SA"/>
        </w:rPr>
      </w:pPr>
      <w:r>
        <w:rPr>
          <w:rFonts w:hint="eastAsia" w:ascii="仿宋" w:hAnsi="仿宋" w:eastAsia="仿宋" w:cs="Times New Roman"/>
          <w:kern w:val="2"/>
          <w:sz w:val="32"/>
          <w:szCs w:val="34"/>
          <w:lang w:val="en-US" w:eastAsia="zh-CN" w:bidi="ar-SA"/>
        </w:rPr>
        <w:t>按照干部教育培训规划的有关要求，坚持以党的二十大精神以及习近平总书记重要讲话重要指示精神为指导，根据市委、市政府的战略部署和形势任务需要，开展干部教育培训工作，旨在努力提高领导干部的理论素养和党性修养。项目的实施对学员在日后岗位上的业务素质、服务态度、廉政意识、党性修养都有一定的提升，对社会发展有积极的推动作用。</w:t>
      </w:r>
    </w:p>
    <w:p w14:paraId="1967C686">
      <w:pPr>
        <w:spacing w:beforeLines="0" w:afterLines="0"/>
        <w:ind w:firstLine="616" w:firstLineChars="200"/>
        <w:jc w:val="left"/>
        <w:rPr>
          <w:rFonts w:hint="eastAsia" w:ascii="仿宋" w:hAnsi="仿宋" w:eastAsia="仿宋" w:cs="Times New Roman"/>
          <w:b/>
          <w:bCs/>
          <w:kern w:val="2"/>
          <w:sz w:val="32"/>
          <w:szCs w:val="34"/>
          <w:lang w:val="en-US" w:eastAsia="zh-CN" w:bidi="ar-SA"/>
        </w:rPr>
      </w:pPr>
      <w:r>
        <w:rPr>
          <w:rFonts w:hint="eastAsia" w:ascii="仿宋" w:hAnsi="仿宋" w:eastAsia="仿宋" w:cs="Times New Roman"/>
          <w:b/>
          <w:bCs/>
          <w:kern w:val="2"/>
          <w:sz w:val="32"/>
          <w:szCs w:val="34"/>
          <w:lang w:val="en-US" w:eastAsia="zh-CN" w:bidi="ar-SA"/>
        </w:rPr>
        <w:t>（2）可持续发展指标</w:t>
      </w:r>
    </w:p>
    <w:p w14:paraId="4A0351DF">
      <w:pPr>
        <w:spacing w:beforeLines="0" w:afterLines="0"/>
        <w:ind w:firstLine="616" w:firstLineChars="200"/>
        <w:jc w:val="left"/>
        <w:rPr>
          <w:rFonts w:hint="eastAsia" w:ascii="仿宋" w:hAnsi="仿宋" w:eastAsia="仿宋" w:cs="Times New Roman"/>
          <w:kern w:val="2"/>
          <w:sz w:val="32"/>
          <w:szCs w:val="34"/>
          <w:lang w:val="en-US" w:eastAsia="zh-CN" w:bidi="ar-SA"/>
        </w:rPr>
      </w:pPr>
      <w:r>
        <w:rPr>
          <w:rFonts w:hint="eastAsia" w:ascii="仿宋" w:hAnsi="仿宋" w:eastAsia="仿宋" w:cs="Times New Roman"/>
          <w:kern w:val="2"/>
          <w:sz w:val="32"/>
          <w:szCs w:val="34"/>
          <w:lang w:val="en-US" w:eastAsia="zh-CN" w:bidi="ar-SA"/>
        </w:rPr>
        <w:t>干部教育培训是干部队伍建设的先导性、基础性、战略性工程，在进行伟大斗争、建设伟大工程、推进伟大事业、实现伟大梦想中具有不可替代的重要地位和作用。项目的实施有利于培养造就忠诚干净担当的高素质专业化干部队伍，不断把新时代中国特色社会主义推向前进。</w:t>
      </w:r>
    </w:p>
    <w:p w14:paraId="53B65014">
      <w:pPr>
        <w:spacing w:beforeLines="0" w:afterLines="0"/>
        <w:ind w:firstLine="616" w:firstLineChars="200"/>
        <w:jc w:val="left"/>
        <w:rPr>
          <w:rFonts w:hint="eastAsia" w:ascii="仿宋" w:hAnsi="仿宋" w:eastAsia="仿宋" w:cs="Times New Roman"/>
          <w:b/>
          <w:bCs/>
          <w:kern w:val="2"/>
          <w:sz w:val="32"/>
          <w:szCs w:val="34"/>
          <w:lang w:val="en-US" w:eastAsia="zh-CN" w:bidi="ar-SA"/>
        </w:rPr>
      </w:pPr>
      <w:r>
        <w:rPr>
          <w:rFonts w:hint="eastAsia" w:ascii="仿宋" w:hAnsi="仿宋" w:eastAsia="仿宋" w:cs="Times New Roman"/>
          <w:b/>
          <w:bCs/>
          <w:kern w:val="2"/>
          <w:sz w:val="32"/>
          <w:szCs w:val="34"/>
          <w:lang w:val="en-US" w:eastAsia="zh-CN" w:bidi="ar-SA"/>
        </w:rPr>
        <w:t>4.公平性</w:t>
      </w:r>
    </w:p>
    <w:p w14:paraId="20F0EB67">
      <w:pPr>
        <w:spacing w:beforeLines="0" w:afterLines="0"/>
        <w:ind w:firstLine="616" w:firstLineChars="200"/>
        <w:jc w:val="left"/>
        <w:rPr>
          <w:rFonts w:hint="eastAsia" w:ascii="仿宋" w:hAnsi="仿宋" w:eastAsia="仿宋" w:cs="Times New Roman"/>
          <w:b/>
          <w:bCs/>
          <w:kern w:val="2"/>
          <w:sz w:val="32"/>
          <w:szCs w:val="34"/>
          <w:lang w:val="en-US" w:eastAsia="zh-CN" w:bidi="ar-SA"/>
        </w:rPr>
      </w:pPr>
      <w:r>
        <w:rPr>
          <w:rFonts w:hint="eastAsia" w:ascii="仿宋" w:hAnsi="仿宋" w:eastAsia="仿宋" w:cs="Times New Roman"/>
          <w:b/>
          <w:bCs/>
          <w:kern w:val="2"/>
          <w:sz w:val="32"/>
          <w:szCs w:val="34"/>
          <w:lang w:val="en-US" w:eastAsia="zh-CN" w:bidi="ar-SA"/>
        </w:rPr>
        <w:t>（1）群众信访</w:t>
      </w:r>
    </w:p>
    <w:p w14:paraId="59755732">
      <w:pPr>
        <w:spacing w:beforeLines="0" w:afterLines="0"/>
        <w:ind w:firstLine="616" w:firstLineChars="200"/>
        <w:jc w:val="left"/>
        <w:rPr>
          <w:rFonts w:hint="eastAsia" w:ascii="仿宋" w:hAnsi="仿宋" w:eastAsia="仿宋" w:cs="Times New Roman"/>
          <w:kern w:val="2"/>
          <w:sz w:val="32"/>
          <w:szCs w:val="34"/>
          <w:lang w:val="en-US" w:eastAsia="zh-CN" w:bidi="ar-SA"/>
        </w:rPr>
      </w:pPr>
      <w:r>
        <w:rPr>
          <w:rFonts w:hint="eastAsia" w:ascii="仿宋" w:hAnsi="仿宋" w:eastAsia="仿宋" w:cs="Times New Roman"/>
          <w:kern w:val="2"/>
          <w:sz w:val="32"/>
          <w:szCs w:val="34"/>
          <w:lang w:val="en-US" w:eastAsia="zh-CN" w:bidi="ar-SA"/>
        </w:rPr>
        <w:t>本部门建立了便利的群众意见反映渠道和群众意见办理回复机制。为更好地听取民声、了解民意、汇聚民智，推进网络问政工作，建设网络问政平台。依托市全市统一的网络问政平台，开通本校的网络问政平台，平台设置的主要栏目包括：单位信箱、政务微博、在线访谈、网上信访、民意征集、网上调查、政务论坛、行风热线等，通过图文、视频、音频等多种展现方式，开展网络问政工作。</w:t>
      </w:r>
    </w:p>
    <w:p w14:paraId="4060765B">
      <w:pPr>
        <w:spacing w:beforeLines="0" w:afterLines="0"/>
        <w:ind w:firstLine="616" w:firstLineChars="200"/>
        <w:jc w:val="left"/>
        <w:rPr>
          <w:rFonts w:hint="eastAsia" w:ascii="仿宋" w:hAnsi="仿宋" w:eastAsia="仿宋" w:cs="Times New Roman"/>
          <w:b/>
          <w:bCs/>
          <w:kern w:val="2"/>
          <w:sz w:val="32"/>
          <w:szCs w:val="34"/>
          <w:lang w:val="en-US" w:eastAsia="zh-CN" w:bidi="ar-SA"/>
        </w:rPr>
      </w:pPr>
      <w:r>
        <w:rPr>
          <w:rFonts w:hint="eastAsia" w:ascii="仿宋" w:hAnsi="仿宋" w:eastAsia="仿宋" w:cs="Times New Roman"/>
          <w:b/>
          <w:bCs/>
          <w:kern w:val="2"/>
          <w:sz w:val="32"/>
          <w:szCs w:val="34"/>
          <w:lang w:val="en-US" w:eastAsia="zh-CN" w:bidi="ar-SA"/>
        </w:rPr>
        <w:t>（2）培训学员满意度</w:t>
      </w:r>
    </w:p>
    <w:p w14:paraId="142245B6">
      <w:pPr>
        <w:spacing w:beforeLines="0" w:afterLines="0"/>
        <w:ind w:firstLine="616" w:firstLineChars="200"/>
        <w:jc w:val="left"/>
        <w:rPr>
          <w:rFonts w:hint="eastAsia" w:ascii="仿宋" w:hAnsi="仿宋" w:eastAsia="仿宋" w:cs="Times New Roman"/>
          <w:kern w:val="2"/>
          <w:sz w:val="32"/>
          <w:szCs w:val="34"/>
          <w:lang w:val="en-US" w:eastAsia="zh-CN" w:bidi="ar-SA"/>
        </w:rPr>
      </w:pPr>
      <w:r>
        <w:rPr>
          <w:rFonts w:hint="eastAsia" w:ascii="仿宋" w:hAnsi="仿宋" w:eastAsia="仿宋" w:cs="Times New Roman"/>
          <w:kern w:val="2"/>
          <w:sz w:val="32"/>
          <w:szCs w:val="34"/>
          <w:lang w:val="en-US" w:eastAsia="zh-CN" w:bidi="ar-SA"/>
        </w:rPr>
        <w:t>通过对学员满意度调查，我们对培训班教学老师授课课程设计与教师教学质量进行评价，对党校培训教学组织管理及后勤服务进行满意度调查。通过向学员发放培训效果评价表进行无记名的调查，调查数据显示学员对培训的满意度达100%。培训学员对委党校干部培训工作持满意态度。达到年初绩效目标任务值，目标完成100%。</w:t>
      </w:r>
    </w:p>
    <w:p w14:paraId="0D3112DA">
      <w:pPr>
        <w:spacing w:beforeLines="0" w:afterLines="0"/>
        <w:ind w:firstLine="616" w:firstLineChars="200"/>
        <w:jc w:val="left"/>
        <w:rPr>
          <w:rFonts w:hint="eastAsia" w:ascii="仿宋" w:hAnsi="仿宋" w:eastAsia="仿宋" w:cs="Times New Roman"/>
          <w:kern w:val="2"/>
          <w:sz w:val="32"/>
          <w:szCs w:val="34"/>
          <w:lang w:val="en-US" w:eastAsia="zh-CN" w:bidi="ar-SA"/>
        </w:rPr>
      </w:pPr>
      <w:r>
        <w:rPr>
          <w:rFonts w:hint="eastAsia" w:ascii="仿宋" w:hAnsi="仿宋" w:eastAsia="仿宋" w:cs="Times New Roman"/>
          <w:kern w:val="2"/>
          <w:sz w:val="32"/>
          <w:szCs w:val="34"/>
          <w:lang w:val="en-US" w:eastAsia="zh-CN" w:bidi="ar-SA"/>
        </w:rPr>
        <w:t>2025年市委党校积极履职，强化管理，较好地完成了年度工作目标。通过加强预算收支管理，不断建立健全内部管理制度，梳理内部管理流程，部门整体支出管理水平得到提升。根据部门整体支出绩效评价指标体系，2025年度市委党校部门整体支出评价得分为</w:t>
      </w:r>
      <w:r>
        <w:rPr>
          <w:rFonts w:hint="eastAsia" w:ascii="仿宋" w:hAnsi="仿宋" w:eastAsia="仿宋" w:cs="Times New Roman"/>
          <w:b/>
          <w:bCs/>
          <w:color w:val="auto"/>
          <w:kern w:val="2"/>
          <w:sz w:val="32"/>
          <w:szCs w:val="34"/>
          <w:lang w:val="en-US" w:eastAsia="zh-CN" w:bidi="ar-SA"/>
        </w:rPr>
        <w:t>98.46</w:t>
      </w:r>
      <w:r>
        <w:rPr>
          <w:rFonts w:hint="eastAsia" w:ascii="仿宋" w:hAnsi="仿宋" w:eastAsia="仿宋" w:cs="Times New Roman"/>
          <w:kern w:val="2"/>
          <w:sz w:val="32"/>
          <w:szCs w:val="34"/>
          <w:lang w:val="en-US" w:eastAsia="zh-CN" w:bidi="ar-SA"/>
        </w:rPr>
        <w:t>分。</w:t>
      </w:r>
      <w:r>
        <w:rPr>
          <w:rFonts w:hint="eastAsia" w:ascii="仿宋" w:hAnsi="仿宋" w:eastAsia="仿宋" w:cs="Times New Roman"/>
          <w:b w:val="0"/>
          <w:bCs w:val="0"/>
          <w:kern w:val="2"/>
          <w:sz w:val="32"/>
          <w:szCs w:val="34"/>
          <w:lang w:val="en-US" w:eastAsia="zh-CN" w:bidi="ar-SA"/>
        </w:rPr>
        <w:t>自评等级为</w:t>
      </w:r>
      <w:r>
        <w:rPr>
          <w:rFonts w:hint="eastAsia" w:ascii="仿宋" w:hAnsi="仿宋" w:eastAsia="仿宋" w:cs="Times New Roman"/>
          <w:b/>
          <w:bCs/>
          <w:kern w:val="2"/>
          <w:sz w:val="32"/>
          <w:szCs w:val="34"/>
          <w:lang w:val="en-US" w:eastAsia="zh-CN" w:bidi="ar-SA"/>
        </w:rPr>
        <w:t>“优”。</w:t>
      </w:r>
    </w:p>
    <w:p w14:paraId="0F683CEB">
      <w:pPr>
        <w:pStyle w:val="7"/>
        <w:rPr>
          <w:rFonts w:hint="eastAsia"/>
        </w:rPr>
      </w:pPr>
    </w:p>
    <w:p w14:paraId="244635BE">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ascii="方正小标宋简体" w:eastAsia="方正小标宋简体"/>
          <w:highlight w:val="none"/>
        </w:rPr>
      </w:pPr>
      <w:r>
        <w:rPr>
          <w:rFonts w:hint="eastAsia" w:ascii="方正小标宋简体" w:eastAsia="方正小标宋简体"/>
          <w:highlight w:val="none"/>
          <w:lang w:eastAsia="zh-CN"/>
        </w:rPr>
        <w:t>四</w:t>
      </w:r>
      <w:r>
        <w:rPr>
          <w:rFonts w:hint="eastAsia" w:ascii="方正小标宋简体" w:eastAsia="方正小标宋简体"/>
          <w:highlight w:val="none"/>
        </w:rPr>
        <w:t>、绩效自评分析</w:t>
      </w:r>
      <w:bookmarkEnd w:id="13"/>
      <w:bookmarkEnd w:id="14"/>
    </w:p>
    <w:p w14:paraId="3118CC5B">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hint="eastAsia" w:ascii="楷体_GB2312" w:eastAsia="楷体_GB2312"/>
          <w:b/>
          <w:bCs/>
          <w:szCs w:val="32"/>
          <w:lang w:eastAsia="zh-CN"/>
        </w:rPr>
      </w:pPr>
      <w:bookmarkStart w:id="17" w:name="_Toc22677"/>
      <w:bookmarkStart w:id="18" w:name="_Toc27392_WPSOffice_Level2"/>
      <w:bookmarkStart w:id="19" w:name="_Toc19924"/>
      <w:bookmarkStart w:id="20" w:name="_Toc26765_WPSOffice_Level3"/>
      <w:r>
        <w:rPr>
          <w:rFonts w:hint="eastAsia" w:ascii="楷体_GB2312" w:eastAsia="楷体_GB2312"/>
          <w:b/>
          <w:bCs/>
          <w:szCs w:val="32"/>
        </w:rPr>
        <w:t>（一）</w:t>
      </w:r>
      <w:bookmarkEnd w:id="17"/>
      <w:bookmarkEnd w:id="18"/>
      <w:bookmarkEnd w:id="19"/>
      <w:bookmarkEnd w:id="20"/>
      <w:r>
        <w:rPr>
          <w:rFonts w:hint="eastAsia" w:ascii="楷体_GB2312" w:eastAsia="楷体_GB2312"/>
          <w:b/>
          <w:bCs/>
          <w:szCs w:val="32"/>
          <w:lang w:eastAsia="zh-CN"/>
        </w:rPr>
        <w:t>履职效能</w:t>
      </w:r>
    </w:p>
    <w:p w14:paraId="5CCABD67">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仿宋" w:hAnsi="仿宋" w:eastAsia="仿宋" w:cs="Times New Roman"/>
          <w:kern w:val="2"/>
          <w:sz w:val="32"/>
          <w:szCs w:val="34"/>
          <w:lang w:val="en-US" w:eastAsia="zh-CN" w:bidi="ar-SA"/>
        </w:rPr>
      </w:pPr>
      <w:bookmarkStart w:id="21" w:name="_Toc4521"/>
      <w:r>
        <w:rPr>
          <w:rFonts w:hint="eastAsia" w:cs="仿宋_GB2312"/>
          <w:b/>
          <w:bCs/>
          <w:szCs w:val="32"/>
        </w:rPr>
        <w:t>1</w:t>
      </w:r>
      <w:r>
        <w:rPr>
          <w:rFonts w:hint="eastAsia" w:ascii="仿宋_GB2312" w:hAnsi="仿宋_GB2312" w:cs="仿宋_GB2312"/>
          <w:b/>
          <w:bCs/>
          <w:szCs w:val="32"/>
        </w:rPr>
        <w:t>.</w:t>
      </w:r>
      <w:bookmarkEnd w:id="21"/>
      <w:r>
        <w:rPr>
          <w:rFonts w:hint="eastAsia" w:ascii="仿宋_GB2312" w:hAnsi="仿宋_GB2312" w:cs="仿宋_GB2312"/>
          <w:b/>
          <w:bCs/>
          <w:szCs w:val="32"/>
          <w:lang w:eastAsia="zh-CN"/>
        </w:rPr>
        <w:t>整体效能。</w:t>
      </w:r>
      <w:r>
        <w:rPr>
          <w:rFonts w:hint="eastAsia" w:ascii="仿宋" w:hAnsi="仿宋" w:eastAsia="仿宋" w:cs="Times New Roman"/>
          <w:b/>
          <w:bCs/>
          <w:kern w:val="2"/>
          <w:sz w:val="32"/>
          <w:szCs w:val="34"/>
          <w:lang w:val="en-US" w:eastAsia="zh-CN" w:bidi="ar-SA"/>
        </w:rPr>
        <w:t>（满分50分，得分50分）</w:t>
      </w:r>
      <w:r>
        <w:rPr>
          <w:rFonts w:hint="default" w:ascii="仿宋" w:hAnsi="仿宋" w:eastAsia="仿宋" w:cs="Times New Roman"/>
          <w:kern w:val="2"/>
          <w:sz w:val="32"/>
          <w:szCs w:val="34"/>
          <w:lang w:val="en-US" w:eastAsia="zh-CN" w:bidi="ar-SA"/>
        </w:rPr>
        <w:t>根据部门《市级预算部门整体支出绩效目标申报表（202</w:t>
      </w:r>
      <w:r>
        <w:rPr>
          <w:rFonts w:hint="eastAsia" w:ascii="仿宋" w:hAnsi="仿宋" w:eastAsia="仿宋" w:cs="Times New Roman"/>
          <w:kern w:val="2"/>
          <w:sz w:val="32"/>
          <w:szCs w:val="34"/>
          <w:lang w:val="en-US" w:eastAsia="zh-CN" w:bidi="ar-SA"/>
        </w:rPr>
        <w:t>5</w:t>
      </w:r>
      <w:r>
        <w:rPr>
          <w:rFonts w:hint="default" w:ascii="仿宋" w:hAnsi="仿宋" w:eastAsia="仿宋" w:cs="Times New Roman"/>
          <w:kern w:val="2"/>
          <w:sz w:val="32"/>
          <w:szCs w:val="34"/>
          <w:lang w:val="en-US" w:eastAsia="zh-CN" w:bidi="ar-SA"/>
        </w:rPr>
        <w:t>年度）》，部门整体支出绩效目标产出指标共设</w:t>
      </w:r>
      <w:r>
        <w:rPr>
          <w:rFonts w:hint="eastAsia" w:ascii="仿宋" w:hAnsi="仿宋" w:eastAsia="仿宋" w:cs="Times New Roman"/>
          <w:kern w:val="2"/>
          <w:sz w:val="32"/>
          <w:szCs w:val="34"/>
          <w:lang w:val="en-US" w:eastAsia="zh-CN" w:bidi="ar-SA"/>
        </w:rPr>
        <w:t>6</w:t>
      </w:r>
      <w:r>
        <w:rPr>
          <w:rFonts w:hint="default" w:ascii="仿宋" w:hAnsi="仿宋" w:eastAsia="仿宋" w:cs="Times New Roman"/>
          <w:kern w:val="2"/>
          <w:sz w:val="32"/>
          <w:szCs w:val="34"/>
          <w:lang w:val="en-US" w:eastAsia="zh-CN" w:bidi="ar-SA"/>
        </w:rPr>
        <w:t>个指标，</w:t>
      </w:r>
      <w:r>
        <w:rPr>
          <w:rFonts w:hint="eastAsia" w:ascii="仿宋" w:hAnsi="仿宋" w:eastAsia="仿宋" w:cs="Times New Roman"/>
          <w:kern w:val="2"/>
          <w:sz w:val="32"/>
          <w:szCs w:val="34"/>
          <w:lang w:val="en-US" w:eastAsia="zh-CN" w:bidi="ar-SA"/>
        </w:rPr>
        <w:t>指标完成率100%，</w:t>
      </w:r>
      <w:r>
        <w:rPr>
          <w:rFonts w:hint="default" w:ascii="仿宋" w:hAnsi="仿宋" w:eastAsia="仿宋" w:cs="Times New Roman"/>
          <w:kern w:val="2"/>
          <w:sz w:val="32"/>
          <w:szCs w:val="34"/>
          <w:lang w:val="en-US" w:eastAsia="zh-CN" w:bidi="ar-SA"/>
        </w:rPr>
        <w:t>得</w:t>
      </w:r>
      <w:r>
        <w:rPr>
          <w:rFonts w:hint="eastAsia" w:ascii="仿宋" w:hAnsi="仿宋" w:eastAsia="仿宋" w:cs="Times New Roman"/>
          <w:kern w:val="2"/>
          <w:sz w:val="32"/>
          <w:szCs w:val="34"/>
          <w:lang w:val="en-US" w:eastAsia="zh-CN" w:bidi="ar-SA"/>
        </w:rPr>
        <w:t>20</w:t>
      </w:r>
      <w:r>
        <w:rPr>
          <w:rFonts w:hint="default" w:ascii="仿宋" w:hAnsi="仿宋" w:eastAsia="仿宋" w:cs="Times New Roman"/>
          <w:kern w:val="2"/>
          <w:sz w:val="32"/>
          <w:szCs w:val="34"/>
          <w:lang w:val="en-US" w:eastAsia="zh-CN" w:bidi="ar-SA"/>
        </w:rPr>
        <w:t>分。由于本指标权重由1</w:t>
      </w:r>
      <w:r>
        <w:rPr>
          <w:rFonts w:hint="eastAsia" w:ascii="仿宋" w:hAnsi="仿宋" w:eastAsia="仿宋" w:cs="Times New Roman"/>
          <w:kern w:val="2"/>
          <w:sz w:val="32"/>
          <w:szCs w:val="34"/>
          <w:lang w:val="en-US" w:eastAsia="zh-CN" w:bidi="ar-SA"/>
        </w:rPr>
        <w:t>5</w:t>
      </w:r>
      <w:r>
        <w:rPr>
          <w:rFonts w:hint="default" w:ascii="仿宋" w:hAnsi="仿宋" w:eastAsia="仿宋" w:cs="Times New Roman"/>
          <w:kern w:val="2"/>
          <w:sz w:val="32"/>
          <w:szCs w:val="34"/>
          <w:lang w:val="en-US" w:eastAsia="zh-CN" w:bidi="ar-SA"/>
        </w:rPr>
        <w:t>分调增至20分，该项得</w:t>
      </w:r>
      <w:r>
        <w:rPr>
          <w:rFonts w:hint="eastAsia" w:ascii="仿宋" w:hAnsi="仿宋" w:eastAsia="仿宋" w:cs="Times New Roman"/>
          <w:kern w:val="2"/>
          <w:sz w:val="32"/>
          <w:szCs w:val="34"/>
          <w:lang w:val="en-US" w:eastAsia="zh-CN" w:bidi="ar-SA"/>
        </w:rPr>
        <w:t>20</w:t>
      </w:r>
      <w:r>
        <w:rPr>
          <w:rFonts w:hint="default" w:ascii="仿宋" w:hAnsi="仿宋" w:eastAsia="仿宋" w:cs="Times New Roman"/>
          <w:kern w:val="2"/>
          <w:sz w:val="32"/>
          <w:szCs w:val="34"/>
          <w:lang w:val="en-US" w:eastAsia="zh-CN" w:bidi="ar-SA"/>
        </w:rPr>
        <w:t>分。部门整体支出绩效</w:t>
      </w:r>
      <w:r>
        <w:rPr>
          <w:rFonts w:hint="eastAsia" w:ascii="仿宋" w:hAnsi="仿宋" w:eastAsia="仿宋" w:cs="Times New Roman"/>
          <w:kern w:val="2"/>
          <w:sz w:val="32"/>
          <w:szCs w:val="34"/>
          <w:lang w:val="en-US" w:eastAsia="zh-CN" w:bidi="ar-SA"/>
        </w:rPr>
        <w:t>目标效益指标</w:t>
      </w:r>
      <w:r>
        <w:rPr>
          <w:rFonts w:hint="default" w:ascii="仿宋" w:hAnsi="仿宋" w:eastAsia="仿宋" w:cs="Times New Roman"/>
          <w:kern w:val="2"/>
          <w:sz w:val="32"/>
          <w:szCs w:val="34"/>
          <w:lang w:val="en-US" w:eastAsia="zh-CN" w:bidi="ar-SA"/>
        </w:rPr>
        <w:t>共设</w:t>
      </w:r>
      <w:r>
        <w:rPr>
          <w:rFonts w:hint="eastAsia" w:ascii="仿宋" w:hAnsi="仿宋" w:eastAsia="仿宋" w:cs="Times New Roman"/>
          <w:kern w:val="2"/>
          <w:sz w:val="32"/>
          <w:szCs w:val="34"/>
          <w:lang w:val="en-US" w:eastAsia="zh-CN" w:bidi="ar-SA"/>
        </w:rPr>
        <w:t>8</w:t>
      </w:r>
      <w:r>
        <w:rPr>
          <w:rFonts w:hint="default" w:ascii="仿宋" w:hAnsi="仿宋" w:eastAsia="仿宋" w:cs="Times New Roman"/>
          <w:kern w:val="2"/>
          <w:sz w:val="32"/>
          <w:szCs w:val="34"/>
          <w:lang w:val="en-US" w:eastAsia="zh-CN" w:bidi="ar-SA"/>
        </w:rPr>
        <w:t>个指标</w:t>
      </w:r>
      <w:r>
        <w:rPr>
          <w:rFonts w:hint="eastAsia" w:ascii="仿宋" w:hAnsi="仿宋" w:eastAsia="仿宋" w:cs="Times New Roman"/>
          <w:kern w:val="2"/>
          <w:sz w:val="32"/>
          <w:szCs w:val="34"/>
          <w:lang w:val="en-US" w:eastAsia="zh-CN" w:bidi="ar-SA"/>
        </w:rPr>
        <w:t>，指标完成率100%，</w:t>
      </w:r>
      <w:r>
        <w:rPr>
          <w:rFonts w:hint="default" w:ascii="仿宋" w:hAnsi="仿宋" w:eastAsia="仿宋" w:cs="Times New Roman"/>
          <w:kern w:val="2"/>
          <w:sz w:val="32"/>
          <w:szCs w:val="34"/>
          <w:lang w:val="en-US" w:eastAsia="zh-CN" w:bidi="ar-SA"/>
        </w:rPr>
        <w:t>得</w:t>
      </w:r>
      <w:r>
        <w:rPr>
          <w:rFonts w:hint="eastAsia" w:ascii="仿宋" w:hAnsi="仿宋" w:eastAsia="仿宋" w:cs="Times New Roman"/>
          <w:kern w:val="2"/>
          <w:sz w:val="32"/>
          <w:szCs w:val="34"/>
          <w:lang w:val="en-US" w:eastAsia="zh-CN" w:bidi="ar-SA"/>
        </w:rPr>
        <w:t>20</w:t>
      </w:r>
      <w:r>
        <w:rPr>
          <w:rFonts w:hint="default" w:ascii="仿宋" w:hAnsi="仿宋" w:eastAsia="仿宋" w:cs="Times New Roman"/>
          <w:kern w:val="2"/>
          <w:sz w:val="32"/>
          <w:szCs w:val="34"/>
          <w:lang w:val="en-US" w:eastAsia="zh-CN" w:bidi="ar-SA"/>
        </w:rPr>
        <w:t>分。由于本指标权重由</w:t>
      </w:r>
      <w:r>
        <w:rPr>
          <w:rFonts w:hint="eastAsia" w:ascii="仿宋" w:hAnsi="仿宋" w:eastAsia="仿宋" w:cs="Times New Roman"/>
          <w:kern w:val="2"/>
          <w:sz w:val="32"/>
          <w:szCs w:val="34"/>
          <w:lang w:val="en-US" w:eastAsia="zh-CN" w:bidi="ar-SA"/>
        </w:rPr>
        <w:t>1</w:t>
      </w:r>
      <w:r>
        <w:rPr>
          <w:rFonts w:hint="default" w:ascii="仿宋" w:hAnsi="仿宋" w:eastAsia="仿宋" w:cs="Times New Roman"/>
          <w:kern w:val="2"/>
          <w:sz w:val="32"/>
          <w:szCs w:val="34"/>
          <w:lang w:val="en-US" w:eastAsia="zh-CN" w:bidi="ar-SA"/>
        </w:rPr>
        <w:t>5分调增至</w:t>
      </w:r>
      <w:r>
        <w:rPr>
          <w:rFonts w:hint="eastAsia" w:ascii="仿宋" w:hAnsi="仿宋" w:eastAsia="仿宋" w:cs="Times New Roman"/>
          <w:kern w:val="2"/>
          <w:sz w:val="32"/>
          <w:szCs w:val="34"/>
          <w:lang w:val="en-US" w:eastAsia="zh-CN" w:bidi="ar-SA"/>
        </w:rPr>
        <w:t>20</w:t>
      </w:r>
      <w:r>
        <w:rPr>
          <w:rFonts w:hint="default" w:ascii="仿宋" w:hAnsi="仿宋" w:eastAsia="仿宋" w:cs="Times New Roman"/>
          <w:kern w:val="2"/>
          <w:sz w:val="32"/>
          <w:szCs w:val="34"/>
          <w:lang w:val="en-US" w:eastAsia="zh-CN" w:bidi="ar-SA"/>
        </w:rPr>
        <w:t>分，该项得</w:t>
      </w:r>
      <w:r>
        <w:rPr>
          <w:rFonts w:hint="eastAsia" w:ascii="仿宋" w:hAnsi="仿宋" w:eastAsia="仿宋" w:cs="Times New Roman"/>
          <w:kern w:val="2"/>
          <w:sz w:val="32"/>
          <w:szCs w:val="34"/>
          <w:lang w:val="en-US" w:eastAsia="zh-CN" w:bidi="ar-SA"/>
        </w:rPr>
        <w:t>20</w:t>
      </w:r>
      <w:r>
        <w:rPr>
          <w:rFonts w:hint="default" w:ascii="仿宋" w:hAnsi="仿宋" w:eastAsia="仿宋" w:cs="Times New Roman"/>
          <w:kern w:val="2"/>
          <w:sz w:val="32"/>
          <w:szCs w:val="34"/>
          <w:lang w:val="en-US" w:eastAsia="zh-CN" w:bidi="ar-SA"/>
        </w:rPr>
        <w:t>分。</w:t>
      </w:r>
      <w:bookmarkStart w:id="22" w:name="_Toc8156"/>
      <w:r>
        <w:rPr>
          <w:rFonts w:hint="default" w:ascii="仿宋" w:hAnsi="仿宋" w:eastAsia="仿宋" w:cs="Times New Roman"/>
          <w:kern w:val="2"/>
          <w:sz w:val="32"/>
          <w:szCs w:val="34"/>
          <w:lang w:val="en-US" w:eastAsia="zh-CN" w:bidi="ar-SA"/>
        </w:rPr>
        <w:t>部门</w:t>
      </w:r>
      <w:r>
        <w:rPr>
          <w:rFonts w:hint="eastAsia" w:ascii="仿宋" w:hAnsi="仿宋" w:eastAsia="仿宋" w:cs="Times New Roman"/>
          <w:kern w:val="2"/>
          <w:sz w:val="32"/>
          <w:szCs w:val="34"/>
          <w:lang w:val="en-US" w:eastAsia="zh-CN" w:bidi="ar-SA"/>
        </w:rPr>
        <w:t>年度重点工作任务4项，完成率100%，</w:t>
      </w:r>
      <w:r>
        <w:rPr>
          <w:rFonts w:hint="default" w:ascii="仿宋" w:hAnsi="仿宋" w:eastAsia="仿宋" w:cs="Times New Roman"/>
          <w:kern w:val="2"/>
          <w:sz w:val="32"/>
          <w:szCs w:val="34"/>
          <w:lang w:val="en-US" w:eastAsia="zh-CN" w:bidi="ar-SA"/>
        </w:rPr>
        <w:t>该项得</w:t>
      </w:r>
      <w:r>
        <w:rPr>
          <w:rFonts w:hint="eastAsia" w:ascii="仿宋" w:hAnsi="仿宋" w:eastAsia="仿宋" w:cs="Times New Roman"/>
          <w:kern w:val="2"/>
          <w:sz w:val="32"/>
          <w:szCs w:val="34"/>
          <w:lang w:val="en-US" w:eastAsia="zh-CN" w:bidi="ar-SA"/>
        </w:rPr>
        <w:t>10</w:t>
      </w:r>
      <w:r>
        <w:rPr>
          <w:rFonts w:hint="default" w:ascii="仿宋" w:hAnsi="仿宋" w:eastAsia="仿宋" w:cs="Times New Roman"/>
          <w:kern w:val="2"/>
          <w:sz w:val="32"/>
          <w:szCs w:val="34"/>
          <w:lang w:val="en-US" w:eastAsia="zh-CN" w:bidi="ar-SA"/>
        </w:rPr>
        <w:t>分。</w:t>
      </w:r>
    </w:p>
    <w:p w14:paraId="4B790695">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仿宋" w:hAnsi="仿宋" w:eastAsia="仿宋" w:cs="Times New Roman"/>
          <w:kern w:val="2"/>
          <w:sz w:val="32"/>
          <w:szCs w:val="34"/>
          <w:lang w:val="en-US" w:eastAsia="zh-CN" w:bidi="ar-SA"/>
        </w:rPr>
      </w:pPr>
      <w:r>
        <w:rPr>
          <w:rFonts w:hint="default" w:ascii="Times New Roman" w:hAnsi="Times New Roman" w:cs="Times New Roman"/>
          <w:b/>
          <w:bCs/>
          <w:szCs w:val="32"/>
        </w:rPr>
        <w:t>2.</w:t>
      </w:r>
      <w:bookmarkEnd w:id="22"/>
      <w:r>
        <w:rPr>
          <w:rFonts w:hint="default" w:ascii="Times New Roman" w:hAnsi="Times New Roman" w:cs="Times New Roman"/>
          <w:b/>
          <w:bCs/>
          <w:szCs w:val="32"/>
          <w:lang w:eastAsia="zh-CN"/>
        </w:rPr>
        <w:t>专项效能</w:t>
      </w:r>
      <w:r>
        <w:rPr>
          <w:rFonts w:hint="eastAsia" w:cs="Times New Roman"/>
          <w:b/>
          <w:bCs/>
          <w:szCs w:val="32"/>
          <w:lang w:eastAsia="zh-CN"/>
        </w:rPr>
        <w:t>。</w:t>
      </w:r>
      <w:r>
        <w:rPr>
          <w:rFonts w:hint="eastAsia" w:ascii="仿宋" w:hAnsi="仿宋" w:eastAsia="仿宋" w:cs="Times New Roman"/>
          <w:kern w:val="2"/>
          <w:sz w:val="32"/>
          <w:szCs w:val="34"/>
          <w:lang w:val="en-US" w:eastAsia="zh-CN" w:bidi="ar-SA"/>
        </w:rPr>
        <w:t>部门无专项资金项目。本项分值（10分）分别调整至“整体效能”的“部门整体支出绩效目标产出指标完成情况”和“部门整体支出绩效目标效益指标完成情况”2个指标中。</w:t>
      </w:r>
    </w:p>
    <w:p w14:paraId="44BA99EA">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hint="eastAsia" w:ascii="楷体_GB2312" w:eastAsia="楷体_GB2312"/>
          <w:b/>
          <w:bCs/>
          <w:szCs w:val="32"/>
          <w:lang w:eastAsia="zh-CN"/>
        </w:rPr>
      </w:pPr>
      <w:bookmarkStart w:id="23" w:name="_Toc19200_WPSOffice_Level2"/>
      <w:bookmarkStart w:id="24" w:name="_Toc13662"/>
      <w:bookmarkStart w:id="25" w:name="_Toc5828_WPSOffice_Level3"/>
      <w:bookmarkStart w:id="26" w:name="_Toc32482"/>
      <w:r>
        <w:rPr>
          <w:rFonts w:hint="eastAsia" w:ascii="楷体_GB2312" w:eastAsia="楷体_GB2312"/>
          <w:b/>
          <w:bCs/>
          <w:szCs w:val="32"/>
        </w:rPr>
        <w:t>（二）</w:t>
      </w:r>
      <w:bookmarkEnd w:id="23"/>
      <w:bookmarkEnd w:id="24"/>
      <w:bookmarkEnd w:id="25"/>
      <w:bookmarkEnd w:id="26"/>
      <w:r>
        <w:rPr>
          <w:rFonts w:hint="eastAsia" w:ascii="楷体_GB2312" w:eastAsia="楷体_GB2312"/>
          <w:b/>
          <w:bCs/>
          <w:szCs w:val="32"/>
          <w:lang w:eastAsia="zh-CN"/>
        </w:rPr>
        <w:t>管理效率</w:t>
      </w:r>
    </w:p>
    <w:p w14:paraId="3D95365F">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b/>
          <w:bCs/>
          <w:kern w:val="2"/>
          <w:sz w:val="32"/>
          <w:szCs w:val="34"/>
          <w:lang w:val="en-US" w:eastAsia="zh-CN" w:bidi="ar-SA"/>
        </w:rPr>
      </w:pPr>
      <w:r>
        <w:rPr>
          <w:rFonts w:hint="eastAsia" w:cs="仿宋_GB2312"/>
          <w:b/>
          <w:bCs/>
          <w:szCs w:val="32"/>
        </w:rPr>
        <w:t>1</w:t>
      </w:r>
      <w:r>
        <w:rPr>
          <w:rFonts w:hint="eastAsia" w:ascii="仿宋_GB2312" w:hAnsi="仿宋_GB2312" w:cs="仿宋_GB2312"/>
          <w:b/>
          <w:bCs/>
          <w:szCs w:val="32"/>
        </w:rPr>
        <w:t>.</w:t>
      </w:r>
      <w:r>
        <w:rPr>
          <w:rFonts w:hint="eastAsia" w:ascii="仿宋_GB2312" w:hAnsi="仿宋_GB2312" w:cs="仿宋_GB2312"/>
          <w:b/>
          <w:bCs/>
          <w:szCs w:val="32"/>
          <w:lang w:eastAsia="zh-CN"/>
        </w:rPr>
        <w:t>预算编制</w:t>
      </w:r>
      <w:r>
        <w:rPr>
          <w:rFonts w:hint="eastAsia" w:ascii="仿宋_GB2312" w:hAnsi="仿宋_GB2312" w:cs="仿宋_GB2312"/>
          <w:b/>
          <w:bCs/>
          <w:szCs w:val="32"/>
        </w:rPr>
        <w:t>。</w:t>
      </w:r>
      <w:r>
        <w:rPr>
          <w:rFonts w:hint="eastAsia" w:ascii="仿宋" w:hAnsi="仿宋" w:eastAsia="仿宋" w:cs="Times New Roman"/>
          <w:b/>
          <w:bCs/>
          <w:kern w:val="2"/>
          <w:sz w:val="32"/>
          <w:szCs w:val="34"/>
          <w:lang w:val="en-US" w:eastAsia="zh-CN" w:bidi="ar-SA"/>
        </w:rPr>
        <w:t>（满分8分，得分8分）</w:t>
      </w:r>
    </w:p>
    <w:p w14:paraId="58D80C52">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b/>
          <w:bCs/>
          <w:kern w:val="2"/>
          <w:sz w:val="32"/>
          <w:szCs w:val="34"/>
          <w:lang w:val="en-US" w:eastAsia="zh-CN" w:bidi="ar-SA"/>
        </w:rPr>
        <w:t>预算编制总体情况(满分3分，得分3分)。</w:t>
      </w:r>
      <w:r>
        <w:rPr>
          <w:rFonts w:hint="eastAsia" w:ascii="仿宋" w:hAnsi="仿宋" w:eastAsia="仿宋" w:cs="Times New Roman"/>
          <w:b w:val="0"/>
          <w:bCs w:val="0"/>
          <w:kern w:val="2"/>
          <w:sz w:val="32"/>
          <w:szCs w:val="34"/>
          <w:lang w:val="en-US" w:eastAsia="zh-CN" w:bidi="ar-SA"/>
        </w:rPr>
        <w:t>市委党校部门预算编制符合本部门职责、符合市委市政府方针政策和工</w:t>
      </w:r>
      <w:r>
        <w:rPr>
          <w:rFonts w:hint="eastAsia" w:ascii="仿宋" w:hAnsi="仿宋" w:eastAsia="仿宋" w:cs="Times New Roman"/>
          <w:kern w:val="2"/>
          <w:sz w:val="32"/>
          <w:szCs w:val="34"/>
          <w:lang w:val="en-US" w:eastAsia="zh-CN" w:bidi="ar-SA"/>
        </w:rPr>
        <w:t>作要求，得1.5分；预算编制符合当年市财政部门印发的预算编制工作方案、通知和有关制度要求。整体绩效目标与部门职能、年度工作任务、申请资金规模等相匹配，得1.5分。</w:t>
      </w:r>
    </w:p>
    <w:p w14:paraId="1D4D8945">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b/>
          <w:bCs/>
          <w:kern w:val="2"/>
          <w:sz w:val="32"/>
          <w:szCs w:val="34"/>
          <w:lang w:val="en-US" w:eastAsia="zh-CN" w:bidi="ar-SA"/>
        </w:rPr>
        <w:t>绩效目标设置(满分5分，得分5分)</w:t>
      </w:r>
      <w:r>
        <w:rPr>
          <w:rFonts w:hint="eastAsia" w:ascii="仿宋" w:hAnsi="仿宋" w:eastAsia="仿宋" w:cs="Times New Roman"/>
          <w:kern w:val="2"/>
          <w:sz w:val="32"/>
          <w:szCs w:val="34"/>
          <w:lang w:val="en-US" w:eastAsia="zh-CN" w:bidi="ar-SA"/>
        </w:rPr>
        <w:t>。根据部门整体支出绩效目标申报表，部门整体绩效目标与部门职能，年度工作任务，申请资金规模等较匹配，绩效指标与绩效目标较匹配，绩效目标设置绩效目标明确、与绩效指标相关联，绩效指标设有明确的指标名称、指标预期值，指标值与指标名称相匹配</w:t>
      </w:r>
      <w:r>
        <w:rPr>
          <w:rFonts w:hint="default" w:ascii="仿宋" w:hAnsi="仿宋" w:eastAsia="仿宋" w:cs="Times New Roman"/>
          <w:kern w:val="2"/>
          <w:sz w:val="32"/>
          <w:szCs w:val="34"/>
          <w:lang w:val="en-US" w:eastAsia="zh-CN" w:bidi="ar-SA"/>
        </w:rPr>
        <w:t>。</w:t>
      </w:r>
    </w:p>
    <w:p w14:paraId="604415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16" w:firstLineChars="200"/>
        <w:textAlignment w:val="auto"/>
        <w:outlineLvl w:val="9"/>
        <w:rPr>
          <w:rFonts w:hint="eastAsia" w:ascii="仿宋_GB2312" w:hAnsi="仿宋_GB2312" w:cs="仿宋_GB2312"/>
          <w:bCs/>
          <w:szCs w:val="32"/>
        </w:rPr>
      </w:pPr>
      <w:bookmarkStart w:id="27" w:name="_Toc3319"/>
      <w:r>
        <w:rPr>
          <w:rFonts w:hint="eastAsia" w:ascii="仿宋_GB2312" w:hAnsi="仿宋_GB2312" w:cs="仿宋_GB2312"/>
          <w:b/>
          <w:bCs/>
          <w:szCs w:val="32"/>
          <w:lang w:val="en-US" w:eastAsia="zh-CN"/>
        </w:rPr>
        <w:t>2.</w:t>
      </w:r>
      <w:r>
        <w:rPr>
          <w:rFonts w:hint="eastAsia" w:ascii="仿宋_GB2312" w:hAnsi="仿宋_GB2312" w:cs="仿宋_GB2312"/>
          <w:b/>
          <w:bCs/>
          <w:szCs w:val="32"/>
          <w:lang w:eastAsia="zh-CN"/>
        </w:rPr>
        <w:t>预算执行</w:t>
      </w:r>
      <w:r>
        <w:rPr>
          <w:rFonts w:hint="eastAsia" w:ascii="仿宋_GB2312" w:hAnsi="仿宋_GB2312" w:cs="仿宋_GB2312"/>
          <w:b/>
          <w:bCs/>
          <w:szCs w:val="32"/>
        </w:rPr>
        <w:t>。</w:t>
      </w:r>
      <w:bookmarkEnd w:id="27"/>
    </w:p>
    <w:p w14:paraId="2B1F7B22">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b/>
          <w:bCs/>
          <w:kern w:val="2"/>
          <w:sz w:val="32"/>
          <w:szCs w:val="34"/>
          <w:lang w:val="en-US" w:eastAsia="zh-CN" w:bidi="ar-SA"/>
        </w:rPr>
        <w:t>（1）预算编制约束性（满分3分，得分2.96分）。</w:t>
      </w:r>
      <w:r>
        <w:rPr>
          <w:rFonts w:hint="eastAsia" w:ascii="仿宋" w:hAnsi="仿宋" w:eastAsia="仿宋" w:cs="Times New Roman"/>
          <w:kern w:val="2"/>
          <w:sz w:val="32"/>
          <w:szCs w:val="34"/>
          <w:lang w:val="en-US" w:eastAsia="zh-CN" w:bidi="ar-SA"/>
        </w:rPr>
        <w:t>根据市委党校2025年度决算报表，预算调剂发生率=（部门年度项目支出预算数-年初项目支出预算数）/年初支出预算数*100%=（490.63-373）/1310*100%=0.01%；年中追加资金占比率=（部门年度支出预算数-年初支出预算数）/年初支出预算数*100%=（1556.01-1310）/1310*100%=0.02%。</w:t>
      </w:r>
      <w:r>
        <w:rPr>
          <w:rFonts w:hint="eastAsia" w:ascii="仿宋_GB2312" w:hAnsi="仿宋_GB2312" w:eastAsia="仿宋_GB2312" w:cs="仿宋_GB2312"/>
          <w:bCs/>
          <w:kern w:val="2"/>
          <w:sz w:val="32"/>
          <w:szCs w:val="32"/>
          <w:lang w:val="en-US" w:eastAsia="zh-CN" w:bidi="ar-SA"/>
        </w:rPr>
        <w:t>故本指标综合得分=（1-0.0</w:t>
      </w:r>
      <w:r>
        <w:rPr>
          <w:rFonts w:hint="eastAsia" w:ascii="仿宋_GB2312" w:hAnsi="仿宋_GB2312" w:cs="仿宋_GB2312"/>
          <w:bCs/>
          <w:kern w:val="2"/>
          <w:sz w:val="32"/>
          <w:szCs w:val="32"/>
          <w:lang w:val="en-US" w:eastAsia="zh-CN" w:bidi="ar-SA"/>
        </w:rPr>
        <w:t>1</w:t>
      </w:r>
      <w:r>
        <w:rPr>
          <w:rFonts w:hint="eastAsia" w:ascii="仿宋_GB2312" w:hAnsi="仿宋_GB2312" w:eastAsia="仿宋_GB2312" w:cs="仿宋_GB2312"/>
          <w:bCs/>
          <w:kern w:val="2"/>
          <w:sz w:val="32"/>
          <w:szCs w:val="32"/>
          <w:lang w:val="en-US" w:eastAsia="zh-CN" w:bidi="ar-SA"/>
        </w:rPr>
        <w:t>）×</w:t>
      </w:r>
      <w:r>
        <w:rPr>
          <w:rFonts w:hint="eastAsia" w:ascii="仿宋_GB2312" w:hAnsi="仿宋_GB2312" w:cs="仿宋_GB2312"/>
          <w:bCs/>
          <w:kern w:val="2"/>
          <w:sz w:val="32"/>
          <w:szCs w:val="32"/>
          <w:lang w:val="en-US" w:eastAsia="zh-CN" w:bidi="ar-SA"/>
        </w:rPr>
        <w:t>3</w:t>
      </w:r>
      <w:r>
        <w:rPr>
          <w:rFonts w:hint="eastAsia" w:ascii="仿宋_GB2312" w:hAnsi="仿宋_GB2312" w:eastAsia="仿宋_GB2312" w:cs="仿宋_GB2312"/>
          <w:bCs/>
          <w:kern w:val="2"/>
          <w:sz w:val="32"/>
          <w:szCs w:val="32"/>
          <w:lang w:val="en-US" w:eastAsia="zh-CN" w:bidi="ar-SA"/>
        </w:rPr>
        <w:t>×</w:t>
      </w:r>
      <w:r>
        <w:rPr>
          <w:rFonts w:hint="eastAsia" w:ascii="仿宋_GB2312" w:hAnsi="仿宋_GB2312" w:cs="仿宋_GB2312"/>
          <w:bCs/>
          <w:kern w:val="2"/>
          <w:sz w:val="32"/>
          <w:szCs w:val="32"/>
          <w:lang w:val="en-US" w:eastAsia="zh-CN" w:bidi="ar-SA"/>
        </w:rPr>
        <w:t>5</w:t>
      </w:r>
      <w:r>
        <w:rPr>
          <w:rFonts w:hint="eastAsia" w:ascii="仿宋_GB2312" w:hAnsi="仿宋_GB2312" w:eastAsia="仿宋_GB2312" w:cs="仿宋_GB2312"/>
          <w:bCs/>
          <w:kern w:val="2"/>
          <w:sz w:val="32"/>
          <w:szCs w:val="32"/>
          <w:lang w:val="en-US" w:eastAsia="zh-CN" w:bidi="ar-SA"/>
        </w:rPr>
        <w:t>0%+（1-0.</w:t>
      </w:r>
      <w:r>
        <w:rPr>
          <w:rFonts w:hint="eastAsia" w:ascii="仿宋_GB2312" w:hAnsi="仿宋_GB2312" w:cs="仿宋_GB2312"/>
          <w:bCs/>
          <w:kern w:val="2"/>
          <w:sz w:val="32"/>
          <w:szCs w:val="32"/>
          <w:lang w:val="en-US" w:eastAsia="zh-CN" w:bidi="ar-SA"/>
        </w:rPr>
        <w:t>02</w:t>
      </w:r>
      <w:r>
        <w:rPr>
          <w:rFonts w:hint="eastAsia" w:ascii="仿宋_GB2312" w:hAnsi="仿宋_GB2312" w:eastAsia="仿宋_GB2312" w:cs="仿宋_GB2312"/>
          <w:bCs/>
          <w:kern w:val="2"/>
          <w:sz w:val="32"/>
          <w:szCs w:val="32"/>
          <w:lang w:val="en-US" w:eastAsia="zh-CN" w:bidi="ar-SA"/>
        </w:rPr>
        <w:t>）×</w:t>
      </w:r>
      <w:r>
        <w:rPr>
          <w:rFonts w:hint="eastAsia" w:ascii="仿宋_GB2312" w:hAnsi="仿宋_GB2312" w:cs="仿宋_GB2312"/>
          <w:bCs/>
          <w:kern w:val="2"/>
          <w:sz w:val="32"/>
          <w:szCs w:val="32"/>
          <w:lang w:val="en-US" w:eastAsia="zh-CN" w:bidi="ar-SA"/>
        </w:rPr>
        <w:t>3</w:t>
      </w:r>
      <w:r>
        <w:rPr>
          <w:rFonts w:hint="eastAsia" w:ascii="仿宋_GB2312" w:hAnsi="仿宋_GB2312" w:eastAsia="仿宋_GB2312" w:cs="仿宋_GB2312"/>
          <w:bCs/>
          <w:kern w:val="2"/>
          <w:sz w:val="32"/>
          <w:szCs w:val="32"/>
          <w:lang w:val="en-US" w:eastAsia="zh-CN" w:bidi="ar-SA"/>
        </w:rPr>
        <w:t>×</w:t>
      </w:r>
      <w:r>
        <w:rPr>
          <w:rFonts w:hint="eastAsia" w:ascii="仿宋_GB2312" w:hAnsi="仿宋_GB2312" w:cs="仿宋_GB2312"/>
          <w:bCs/>
          <w:kern w:val="2"/>
          <w:sz w:val="32"/>
          <w:szCs w:val="32"/>
          <w:lang w:val="en-US" w:eastAsia="zh-CN" w:bidi="ar-SA"/>
        </w:rPr>
        <w:t>5</w:t>
      </w:r>
      <w:r>
        <w:rPr>
          <w:rFonts w:hint="eastAsia" w:ascii="仿宋_GB2312" w:hAnsi="仿宋_GB2312" w:eastAsia="仿宋_GB2312" w:cs="仿宋_GB2312"/>
          <w:bCs/>
          <w:kern w:val="2"/>
          <w:sz w:val="32"/>
          <w:szCs w:val="32"/>
          <w:lang w:val="en-US" w:eastAsia="zh-CN" w:bidi="ar-SA"/>
        </w:rPr>
        <w:t>0%=</w:t>
      </w:r>
      <w:r>
        <w:rPr>
          <w:rFonts w:hint="eastAsia" w:ascii="仿宋_GB2312" w:hAnsi="仿宋_GB2312" w:cs="仿宋_GB2312"/>
          <w:bCs/>
          <w:kern w:val="2"/>
          <w:sz w:val="32"/>
          <w:szCs w:val="32"/>
          <w:lang w:val="en-US" w:eastAsia="zh-CN" w:bidi="ar-SA"/>
        </w:rPr>
        <w:t>2.96</w:t>
      </w:r>
      <w:bookmarkStart w:id="31" w:name="_GoBack"/>
      <w:bookmarkEnd w:id="31"/>
      <w:r>
        <w:rPr>
          <w:rFonts w:hint="eastAsia" w:ascii="仿宋_GB2312" w:hAnsi="仿宋_GB2312" w:eastAsia="仿宋_GB2312" w:cs="仿宋_GB2312"/>
          <w:bCs/>
          <w:kern w:val="2"/>
          <w:sz w:val="32"/>
          <w:szCs w:val="32"/>
          <w:lang w:val="en-US" w:eastAsia="zh-CN" w:bidi="ar-SA"/>
        </w:rPr>
        <w:t>（分）。</w:t>
      </w:r>
      <w:r>
        <w:rPr>
          <w:rFonts w:hint="eastAsia" w:ascii="仿宋" w:hAnsi="仿宋" w:eastAsia="仿宋" w:cs="Times New Roman"/>
          <w:kern w:val="2"/>
          <w:sz w:val="32"/>
          <w:szCs w:val="34"/>
          <w:lang w:val="en-US" w:eastAsia="zh-CN" w:bidi="ar-SA"/>
        </w:rPr>
        <w:t>根据评分标准，该项得2.96分。</w:t>
      </w:r>
    </w:p>
    <w:p w14:paraId="09EAF2D0">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b/>
          <w:bCs/>
          <w:kern w:val="2"/>
          <w:sz w:val="32"/>
          <w:szCs w:val="34"/>
          <w:lang w:val="en-US" w:eastAsia="zh-CN" w:bidi="ar-SA"/>
        </w:rPr>
        <w:t>（2）财务管理合规性（满分4分，得分4分）。</w:t>
      </w:r>
      <w:r>
        <w:rPr>
          <w:rFonts w:hint="eastAsia" w:ascii="仿宋" w:hAnsi="仿宋" w:eastAsia="仿宋" w:cs="Times New Roman"/>
          <w:kern w:val="2"/>
          <w:sz w:val="32"/>
          <w:szCs w:val="34"/>
          <w:lang w:val="en-US" w:eastAsia="zh-CN" w:bidi="ar-SA"/>
        </w:rPr>
        <w:t>经抽查凭证，未发现超范围、超标准支出等不规范情况。会计核算规范，资金申请、审批手续完备。</w:t>
      </w:r>
    </w:p>
    <w:p w14:paraId="4717FCBE">
      <w:pPr>
        <w:pStyle w:val="7"/>
        <w:numPr>
          <w:ilvl w:val="0"/>
          <w:numId w:val="0"/>
        </w:numPr>
      </w:pPr>
    </w:p>
    <w:p w14:paraId="28E7EE28">
      <w:pPr>
        <w:numPr>
          <w:ilvl w:val="0"/>
          <w:numId w:val="0"/>
        </w:numPr>
        <w:ind w:leftChars="200"/>
        <w:rPr>
          <w:rFonts w:ascii="仿宋_GB2312" w:hAnsi="仿宋_GB2312" w:cs="仿宋_GB2312"/>
          <w:szCs w:val="32"/>
        </w:rPr>
      </w:pPr>
      <w:bookmarkStart w:id="28" w:name="_Toc29827"/>
      <w:r>
        <w:rPr>
          <w:rFonts w:hint="eastAsia" w:ascii="仿宋_GB2312" w:hAnsi="仿宋_GB2312" w:cs="仿宋_GB2312"/>
          <w:b/>
          <w:bCs/>
          <w:szCs w:val="32"/>
          <w:lang w:val="en-US" w:eastAsia="zh-CN"/>
        </w:rPr>
        <w:t>3.</w:t>
      </w:r>
      <w:r>
        <w:rPr>
          <w:rFonts w:hint="eastAsia" w:ascii="仿宋_GB2312" w:hAnsi="仿宋_GB2312" w:cs="仿宋_GB2312"/>
          <w:b/>
          <w:bCs/>
          <w:szCs w:val="32"/>
          <w:lang w:eastAsia="zh-CN"/>
        </w:rPr>
        <w:t>信息公开</w:t>
      </w:r>
      <w:r>
        <w:rPr>
          <w:rFonts w:hint="eastAsia" w:ascii="仿宋" w:hAnsi="仿宋" w:eastAsia="仿宋" w:cs="Times New Roman"/>
          <w:b/>
          <w:bCs/>
          <w:kern w:val="2"/>
          <w:sz w:val="32"/>
          <w:szCs w:val="34"/>
          <w:lang w:val="en-US" w:eastAsia="zh-CN" w:bidi="ar-SA"/>
        </w:rPr>
        <w:t>（满分3分，得分3分）</w:t>
      </w:r>
      <w:r>
        <w:rPr>
          <w:rFonts w:hint="eastAsia" w:ascii="仿宋_GB2312" w:hAnsi="仿宋_GB2312" w:cs="仿宋_GB2312"/>
          <w:b/>
          <w:bCs/>
          <w:szCs w:val="32"/>
        </w:rPr>
        <w:t>。</w:t>
      </w:r>
      <w:bookmarkEnd w:id="28"/>
      <w:r>
        <w:rPr>
          <w:rFonts w:hint="eastAsia" w:ascii="仿宋_GB2312" w:hAnsi="仿宋_GB2312" w:cs="仿宋_GB2312"/>
          <w:b/>
          <w:bCs/>
          <w:szCs w:val="32"/>
          <w:lang w:val="en-US" w:eastAsia="zh-CN"/>
        </w:rPr>
        <w:t xml:space="preserve"> </w:t>
      </w:r>
      <w:r>
        <w:rPr>
          <w:rFonts w:hint="eastAsia" w:ascii="仿宋_GB2312" w:hAnsi="仿宋_GB2312" w:cs="仿宋_GB2312"/>
          <w:szCs w:val="32"/>
          <w:lang w:val="en-US" w:eastAsia="zh-CN"/>
        </w:rPr>
        <w:t xml:space="preserve"> </w:t>
      </w:r>
    </w:p>
    <w:p w14:paraId="3BD7366D">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kern w:val="2"/>
          <w:sz w:val="32"/>
          <w:szCs w:val="34"/>
          <w:lang w:val="en-US" w:eastAsia="zh-CN" w:bidi="ar-SA"/>
        </w:rPr>
        <w:t>一是按规定在市政府门户网站及本校网站及时公开信息；二是基础数据信息和会计信息资料真实、完整、准确。该项得3分。</w:t>
      </w:r>
    </w:p>
    <w:p w14:paraId="101A28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textAlignment w:val="auto"/>
        <w:outlineLvl w:val="9"/>
        <w:rPr>
          <w:rFonts w:hint="eastAsia" w:ascii="仿宋_GB2312" w:hAnsi="仿宋_GB2312" w:cs="仿宋_GB2312"/>
          <w:b/>
          <w:bCs/>
          <w:szCs w:val="32"/>
        </w:rPr>
      </w:pPr>
      <w:bookmarkStart w:id="29" w:name="_Toc3788"/>
      <w:r>
        <w:rPr>
          <w:rFonts w:hint="eastAsia" w:ascii="仿宋_GB2312" w:hAnsi="仿宋_GB2312" w:cs="仿宋_GB2312"/>
          <w:b/>
          <w:bCs/>
          <w:szCs w:val="32"/>
          <w:lang w:val="en-US" w:eastAsia="zh-CN"/>
        </w:rPr>
        <w:t>4.</w:t>
      </w:r>
      <w:r>
        <w:rPr>
          <w:rFonts w:hint="eastAsia" w:ascii="仿宋_GB2312" w:hAnsi="仿宋_GB2312" w:cs="仿宋_GB2312"/>
          <w:b/>
          <w:bCs/>
          <w:szCs w:val="32"/>
          <w:lang w:eastAsia="zh-CN"/>
        </w:rPr>
        <w:t>绩效</w:t>
      </w:r>
      <w:r>
        <w:rPr>
          <w:rFonts w:hint="eastAsia" w:ascii="仿宋_GB2312" w:hAnsi="仿宋_GB2312" w:cs="仿宋_GB2312"/>
          <w:b/>
          <w:bCs/>
          <w:szCs w:val="32"/>
        </w:rPr>
        <w:t>管理</w:t>
      </w:r>
      <w:r>
        <w:rPr>
          <w:rFonts w:hint="eastAsia" w:ascii="仿宋" w:hAnsi="仿宋" w:eastAsia="仿宋" w:cs="Times New Roman"/>
          <w:b/>
          <w:bCs/>
          <w:kern w:val="2"/>
          <w:sz w:val="32"/>
          <w:szCs w:val="34"/>
          <w:lang w:val="en-US" w:eastAsia="zh-CN" w:bidi="ar-SA"/>
        </w:rPr>
        <w:t>（满分9分，得分9分）</w:t>
      </w:r>
      <w:r>
        <w:rPr>
          <w:rFonts w:hint="eastAsia" w:ascii="仿宋_GB2312" w:hAnsi="仿宋_GB2312" w:cs="仿宋_GB2312"/>
          <w:b/>
          <w:bCs/>
          <w:szCs w:val="32"/>
        </w:rPr>
        <w:t>。</w:t>
      </w:r>
      <w:bookmarkEnd w:id="29"/>
    </w:p>
    <w:p w14:paraId="5743E06A">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b/>
          <w:bCs/>
          <w:kern w:val="2"/>
          <w:sz w:val="32"/>
          <w:szCs w:val="34"/>
          <w:lang w:val="en-US" w:eastAsia="zh-CN" w:bidi="ar-SA"/>
        </w:rPr>
        <w:t>绩效管理制度建设（满分4分，得分4分）</w:t>
      </w:r>
      <w:r>
        <w:rPr>
          <w:rFonts w:hint="eastAsia" w:ascii="仿宋_GB2312" w:hAnsi="仿宋_GB2312" w:cs="仿宋_GB2312"/>
          <w:b/>
          <w:bCs/>
          <w:szCs w:val="32"/>
        </w:rPr>
        <w:t>。</w:t>
      </w:r>
      <w:r>
        <w:rPr>
          <w:rFonts w:hint="eastAsia" w:ascii="仿宋" w:hAnsi="仿宋" w:eastAsia="仿宋" w:cs="Times New Roman"/>
          <w:kern w:val="2"/>
          <w:sz w:val="32"/>
          <w:szCs w:val="34"/>
          <w:lang w:val="en-US" w:eastAsia="zh-CN" w:bidi="ar-SA"/>
        </w:rPr>
        <w:t>市委党校制定了《阳江市委党校预算绩效管理制度》绩效管理制度健全，明确了绩效职责分工，相关管理制度得到有效执行。得4分。</w:t>
      </w:r>
    </w:p>
    <w:p w14:paraId="7A041FEA">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b/>
          <w:bCs/>
          <w:kern w:val="2"/>
          <w:sz w:val="32"/>
          <w:szCs w:val="34"/>
          <w:lang w:val="en-US" w:eastAsia="zh-CN" w:bidi="ar-SA"/>
        </w:rPr>
        <w:t>绩效管理执行情况(满分5分，得分5分)。</w:t>
      </w:r>
      <w:r>
        <w:rPr>
          <w:rFonts w:hint="eastAsia" w:ascii="仿宋" w:hAnsi="仿宋" w:eastAsia="仿宋" w:cs="Times New Roman"/>
          <w:kern w:val="2"/>
          <w:sz w:val="32"/>
          <w:szCs w:val="34"/>
          <w:lang w:val="en-US" w:eastAsia="zh-CN" w:bidi="ar-SA"/>
        </w:rPr>
        <w:t>根据市委党校2025年部门整体支出绩效目标申报表，绩效目标编报质量较好。2025年，市财政局对党校有关财政资金使用绩效实施了绩效评价复核，党校依据复核结果及相关文件规定，采取有效措施对存在的问题进行了整改。</w:t>
      </w:r>
    </w:p>
    <w:p w14:paraId="3C5D4C9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cs="Times New Roman"/>
          <w:b/>
          <w:bCs/>
          <w:szCs w:val="32"/>
          <w:lang w:val="en-US" w:eastAsia="zh-CN"/>
        </w:rPr>
      </w:pPr>
      <w:r>
        <w:rPr>
          <w:rFonts w:hint="eastAsia" w:cs="Times New Roman"/>
          <w:b/>
          <w:bCs/>
          <w:szCs w:val="32"/>
          <w:lang w:val="en-US" w:eastAsia="zh-CN"/>
        </w:rPr>
        <w:t>5.</w:t>
      </w:r>
      <w:r>
        <w:rPr>
          <w:rFonts w:hint="default" w:ascii="Times New Roman" w:hAnsi="Times New Roman" w:cs="Times New Roman"/>
          <w:b/>
          <w:bCs/>
          <w:szCs w:val="32"/>
          <w:lang w:val="en-US" w:eastAsia="zh-CN"/>
        </w:rPr>
        <w:t>采购管理</w:t>
      </w:r>
      <w:r>
        <w:rPr>
          <w:rFonts w:hint="eastAsia" w:ascii="仿宋" w:hAnsi="仿宋" w:eastAsia="仿宋" w:cs="Times New Roman"/>
          <w:b/>
          <w:bCs/>
          <w:kern w:val="2"/>
          <w:sz w:val="32"/>
          <w:szCs w:val="34"/>
          <w:lang w:val="en-US" w:eastAsia="zh-CN" w:bidi="ar-SA"/>
        </w:rPr>
        <w:t>(满分11分，得分11分)</w:t>
      </w:r>
      <w:r>
        <w:rPr>
          <w:rFonts w:hint="default" w:ascii="Times New Roman" w:hAnsi="Times New Roman" w:cs="Times New Roman"/>
          <w:b/>
          <w:bCs/>
          <w:szCs w:val="32"/>
          <w:lang w:val="en-US" w:eastAsia="zh-CN"/>
        </w:rPr>
        <w:t>。</w:t>
      </w:r>
    </w:p>
    <w:p w14:paraId="35311F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cs="Times New Roman"/>
          <w:b w:val="0"/>
          <w:bCs w:val="0"/>
          <w:szCs w:val="32"/>
          <w:lang w:val="en-US" w:eastAsia="zh-CN"/>
        </w:rPr>
      </w:pPr>
      <w:r>
        <w:rPr>
          <w:rFonts w:hint="default" w:ascii="Times New Roman" w:hAnsi="Times New Roman" w:cs="Times New Roman"/>
          <w:b/>
          <w:bCs/>
          <w:szCs w:val="32"/>
          <w:lang w:val="en-US" w:eastAsia="zh-CN"/>
        </w:rPr>
        <w:t>采购合理性(满分2分，得分2分)。</w:t>
      </w:r>
      <w:r>
        <w:rPr>
          <w:rFonts w:hint="default" w:ascii="仿宋" w:hAnsi="仿宋" w:eastAsia="仿宋" w:cs="Times New Roman"/>
          <w:kern w:val="2"/>
          <w:sz w:val="32"/>
          <w:szCs w:val="34"/>
          <w:lang w:val="en-US" w:eastAsia="zh-CN" w:bidi="ar-SA"/>
        </w:rPr>
        <w:t>202</w:t>
      </w:r>
      <w:r>
        <w:rPr>
          <w:rFonts w:hint="eastAsia" w:ascii="仿宋" w:hAnsi="仿宋" w:eastAsia="仿宋" w:cs="Times New Roman"/>
          <w:kern w:val="2"/>
          <w:sz w:val="32"/>
          <w:szCs w:val="34"/>
          <w:lang w:val="en-US" w:eastAsia="zh-CN" w:bidi="ar-SA"/>
        </w:rPr>
        <w:t>5</w:t>
      </w:r>
      <w:r>
        <w:rPr>
          <w:rFonts w:hint="default" w:ascii="仿宋" w:hAnsi="仿宋" w:eastAsia="仿宋" w:cs="Times New Roman"/>
          <w:kern w:val="2"/>
          <w:sz w:val="32"/>
          <w:szCs w:val="34"/>
          <w:lang w:val="en-US" w:eastAsia="zh-CN" w:bidi="ar-SA"/>
        </w:rPr>
        <w:t>年度部门政府采购合同共计</w:t>
      </w:r>
      <w:r>
        <w:rPr>
          <w:rFonts w:hint="eastAsia" w:ascii="仿宋" w:hAnsi="仿宋" w:eastAsia="仿宋" w:cs="Times New Roman"/>
          <w:kern w:val="2"/>
          <w:sz w:val="32"/>
          <w:szCs w:val="34"/>
          <w:lang w:val="en-US" w:eastAsia="zh-CN" w:bidi="ar-SA"/>
        </w:rPr>
        <w:t>18</w:t>
      </w:r>
      <w:r>
        <w:rPr>
          <w:rFonts w:hint="default" w:ascii="仿宋" w:hAnsi="仿宋" w:eastAsia="仿宋" w:cs="Times New Roman"/>
          <w:kern w:val="2"/>
          <w:sz w:val="32"/>
          <w:szCs w:val="34"/>
          <w:lang w:val="en-US" w:eastAsia="zh-CN" w:bidi="ar-SA"/>
        </w:rPr>
        <w:t>个，可在广东省政府采购网上查询，</w:t>
      </w:r>
      <w:r>
        <w:rPr>
          <w:rFonts w:hint="default" w:ascii="Times New Roman" w:hAnsi="Times New Roman" w:cs="Times New Roman"/>
          <w:b w:val="0"/>
          <w:bCs w:val="0"/>
          <w:szCs w:val="32"/>
          <w:lang w:val="en-US" w:eastAsia="zh-CN"/>
        </w:rPr>
        <w:t>采购需求</w:t>
      </w:r>
      <w:r>
        <w:rPr>
          <w:rFonts w:hint="default" w:ascii="仿宋" w:hAnsi="仿宋" w:eastAsia="仿宋" w:cs="Times New Roman"/>
          <w:b w:val="0"/>
          <w:bCs w:val="0"/>
          <w:kern w:val="2"/>
          <w:sz w:val="32"/>
          <w:szCs w:val="34"/>
          <w:lang w:val="en-US" w:eastAsia="zh-CN" w:bidi="ar-SA"/>
        </w:rPr>
        <w:t>合规、</w:t>
      </w:r>
      <w:r>
        <w:rPr>
          <w:rFonts w:hint="default" w:ascii="Times New Roman" w:hAnsi="Times New Roman" w:cs="Times New Roman"/>
          <w:b w:val="0"/>
          <w:bCs w:val="0"/>
          <w:szCs w:val="32"/>
          <w:lang w:val="en-US" w:eastAsia="zh-CN"/>
        </w:rPr>
        <w:t>明确，能够按照规定程序和方式开展</w:t>
      </w:r>
      <w:r>
        <w:rPr>
          <w:rFonts w:hint="eastAsia" w:cs="Times New Roman"/>
          <w:b w:val="0"/>
          <w:bCs w:val="0"/>
          <w:szCs w:val="32"/>
          <w:lang w:val="en-US" w:eastAsia="zh-CN"/>
        </w:rPr>
        <w:t>。</w:t>
      </w:r>
    </w:p>
    <w:p w14:paraId="787F9176">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cs="Times New Roman"/>
          <w:b w:val="0"/>
          <w:bCs w:val="0"/>
          <w:szCs w:val="32"/>
          <w:lang w:val="en-US" w:eastAsia="zh-CN"/>
        </w:rPr>
      </w:pPr>
      <w:r>
        <w:rPr>
          <w:rFonts w:hint="default" w:ascii="Times New Roman" w:hAnsi="Times New Roman" w:cs="Times New Roman"/>
          <w:b/>
          <w:bCs/>
          <w:szCs w:val="32"/>
          <w:lang w:val="en-US" w:eastAsia="zh-CN"/>
        </w:rPr>
        <w:t>采购内控制度建设(满分1分，得分1分)。</w:t>
      </w:r>
      <w:r>
        <w:rPr>
          <w:rFonts w:hint="default" w:ascii="Times New Roman" w:hAnsi="Times New Roman" w:cs="Times New Roman"/>
          <w:b w:val="0"/>
          <w:bCs w:val="0"/>
          <w:szCs w:val="32"/>
          <w:lang w:val="en-US" w:eastAsia="zh-CN"/>
        </w:rPr>
        <w:t>市委党校制定了政府采购管理办法，为采购管理提供了制度保障。</w:t>
      </w:r>
    </w:p>
    <w:p w14:paraId="4B3EC49A">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cs="Times New Roman"/>
          <w:b w:val="0"/>
          <w:bCs w:val="0"/>
          <w:szCs w:val="32"/>
          <w:lang w:val="en-US" w:eastAsia="zh-CN"/>
        </w:rPr>
      </w:pPr>
      <w:r>
        <w:rPr>
          <w:rFonts w:hint="default" w:ascii="Times New Roman" w:hAnsi="Times New Roman" w:cs="Times New Roman"/>
          <w:b/>
          <w:bCs/>
          <w:szCs w:val="32"/>
          <w:lang w:val="en-US" w:eastAsia="zh-CN"/>
        </w:rPr>
        <w:t>采购活动合规性(满分2分，得分2分)。</w:t>
      </w:r>
      <w:r>
        <w:rPr>
          <w:rFonts w:hint="default" w:ascii="Times New Roman" w:hAnsi="Times New Roman" w:cs="Times New Roman"/>
          <w:b w:val="0"/>
          <w:bCs w:val="0"/>
          <w:szCs w:val="32"/>
          <w:lang w:val="en-US" w:eastAsia="zh-CN"/>
        </w:rPr>
        <w:t>市委党校相关采购未收到经财政部门查证认定投诉事项成立的情况。</w:t>
      </w:r>
    </w:p>
    <w:p w14:paraId="7BA48F49">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default" w:ascii="Times New Roman" w:hAnsi="Times New Roman" w:cs="Times New Roman"/>
          <w:b/>
          <w:bCs/>
          <w:szCs w:val="32"/>
          <w:lang w:val="en-US" w:eastAsia="zh-CN"/>
        </w:rPr>
        <w:t>采购合同签订时效性(满分2分，得分</w:t>
      </w:r>
      <w:r>
        <w:rPr>
          <w:rFonts w:hint="eastAsia" w:cs="Times New Roman"/>
          <w:b/>
          <w:bCs/>
          <w:szCs w:val="32"/>
          <w:lang w:val="en-US" w:eastAsia="zh-CN"/>
        </w:rPr>
        <w:t>2</w:t>
      </w:r>
      <w:r>
        <w:rPr>
          <w:rFonts w:hint="default" w:ascii="Times New Roman" w:hAnsi="Times New Roman" w:cs="Times New Roman"/>
          <w:b/>
          <w:bCs/>
          <w:szCs w:val="32"/>
          <w:lang w:val="en-US" w:eastAsia="zh-CN"/>
        </w:rPr>
        <w:t>分)。</w:t>
      </w:r>
      <w:r>
        <w:rPr>
          <w:rFonts w:hint="eastAsia" w:ascii="仿宋" w:hAnsi="仿宋" w:eastAsia="仿宋" w:cs="Times New Roman"/>
          <w:kern w:val="2"/>
          <w:sz w:val="32"/>
          <w:szCs w:val="34"/>
          <w:lang w:val="en-US" w:eastAsia="zh-CN" w:bidi="ar-SA"/>
        </w:rPr>
        <w:t>政府采购合同签订及时性情况：签订及时率=18/18×100%=100%。合同签订及时率100%。</w:t>
      </w:r>
    </w:p>
    <w:p w14:paraId="5D3EAF75">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仿宋" w:hAnsi="仿宋" w:eastAsia="仿宋" w:cs="Times New Roman"/>
          <w:kern w:val="2"/>
          <w:sz w:val="32"/>
          <w:szCs w:val="34"/>
          <w:lang w:val="en-US" w:eastAsia="zh-CN" w:bidi="ar-SA"/>
        </w:rPr>
      </w:pPr>
      <w:r>
        <w:rPr>
          <w:rFonts w:hint="eastAsia" w:ascii="仿宋" w:hAnsi="仿宋" w:eastAsia="仿宋" w:cs="Times New Roman"/>
          <w:b/>
          <w:bCs/>
          <w:kern w:val="2"/>
          <w:sz w:val="32"/>
          <w:szCs w:val="34"/>
          <w:lang w:val="en-US" w:eastAsia="zh-CN" w:bidi="ar-SA"/>
        </w:rPr>
        <w:t>合同备案时效性</w:t>
      </w:r>
      <w:r>
        <w:rPr>
          <w:rFonts w:hint="default" w:ascii="Times New Roman" w:hAnsi="Times New Roman" w:cs="Times New Roman"/>
          <w:b/>
          <w:bCs/>
          <w:szCs w:val="32"/>
          <w:lang w:val="en-US" w:eastAsia="zh-CN"/>
        </w:rPr>
        <w:t>(满分2分，得分</w:t>
      </w:r>
      <w:r>
        <w:rPr>
          <w:rFonts w:hint="eastAsia" w:cs="Times New Roman"/>
          <w:b/>
          <w:bCs/>
          <w:szCs w:val="32"/>
          <w:lang w:val="en-US" w:eastAsia="zh-CN"/>
        </w:rPr>
        <w:t>2</w:t>
      </w:r>
      <w:r>
        <w:rPr>
          <w:rFonts w:hint="default" w:ascii="Times New Roman" w:hAnsi="Times New Roman" w:cs="Times New Roman"/>
          <w:b/>
          <w:bCs/>
          <w:szCs w:val="32"/>
          <w:lang w:val="en-US" w:eastAsia="zh-CN"/>
        </w:rPr>
        <w:t>分)。</w:t>
      </w:r>
      <w:r>
        <w:rPr>
          <w:rFonts w:hint="default" w:ascii="Times New Roman" w:hAnsi="Times New Roman" w:cs="Times New Roman"/>
          <w:b w:val="0"/>
          <w:bCs w:val="0"/>
          <w:szCs w:val="32"/>
          <w:lang w:val="en-US" w:eastAsia="zh-CN"/>
        </w:rPr>
        <w:t>修订《中共阳江市委党校政府采购管理办法》，合同签订后2个工作日内通过广东政府采购智慧云平台公告并完成备案。</w:t>
      </w:r>
    </w:p>
    <w:p w14:paraId="74BE2A2E">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仿宋" w:hAnsi="仿宋" w:eastAsia="仿宋" w:cs="Times New Roman"/>
          <w:kern w:val="2"/>
          <w:sz w:val="32"/>
          <w:szCs w:val="34"/>
          <w:lang w:val="en-US" w:eastAsia="zh-CN" w:bidi="ar-SA"/>
        </w:rPr>
      </w:pPr>
      <w:r>
        <w:rPr>
          <w:rFonts w:hint="eastAsia" w:ascii="仿宋" w:hAnsi="仿宋" w:eastAsia="仿宋" w:cs="Times New Roman"/>
          <w:b/>
          <w:bCs/>
          <w:kern w:val="2"/>
          <w:sz w:val="32"/>
          <w:szCs w:val="34"/>
          <w:lang w:val="en-US" w:eastAsia="zh-CN" w:bidi="ar-SA"/>
        </w:rPr>
        <w:t>采购履约及验收</w:t>
      </w:r>
      <w:r>
        <w:rPr>
          <w:rFonts w:hint="default" w:ascii="Times New Roman" w:hAnsi="Times New Roman" w:cs="Times New Roman"/>
          <w:b/>
          <w:bCs/>
          <w:szCs w:val="32"/>
          <w:lang w:val="en-US" w:eastAsia="zh-CN"/>
        </w:rPr>
        <w:t>(满分2分，得分</w:t>
      </w:r>
      <w:r>
        <w:rPr>
          <w:rFonts w:hint="eastAsia" w:cs="Times New Roman"/>
          <w:b/>
          <w:bCs/>
          <w:szCs w:val="32"/>
          <w:lang w:val="en-US" w:eastAsia="zh-CN"/>
        </w:rPr>
        <w:t>2</w:t>
      </w:r>
      <w:r>
        <w:rPr>
          <w:rFonts w:hint="default" w:ascii="Times New Roman" w:hAnsi="Times New Roman" w:cs="Times New Roman"/>
          <w:b/>
          <w:bCs/>
          <w:szCs w:val="32"/>
          <w:lang w:val="en-US" w:eastAsia="zh-CN"/>
        </w:rPr>
        <w:t>分)。</w:t>
      </w:r>
      <w:r>
        <w:rPr>
          <w:rFonts w:hint="eastAsia" w:cs="Times New Roman"/>
          <w:b w:val="0"/>
          <w:bCs w:val="0"/>
          <w:szCs w:val="32"/>
          <w:lang w:val="en-US" w:eastAsia="zh-CN"/>
        </w:rPr>
        <w:t>2025年</w:t>
      </w:r>
      <w:r>
        <w:rPr>
          <w:rFonts w:hint="eastAsia" w:ascii="仿宋" w:hAnsi="仿宋" w:eastAsia="仿宋" w:cs="Times New Roman"/>
          <w:b w:val="0"/>
          <w:bCs w:val="0"/>
          <w:kern w:val="2"/>
          <w:sz w:val="32"/>
          <w:szCs w:val="34"/>
          <w:lang w:val="en-US" w:eastAsia="zh-CN" w:bidi="ar-SA"/>
        </w:rPr>
        <w:t>18</w:t>
      </w:r>
      <w:r>
        <w:rPr>
          <w:rFonts w:hint="eastAsia" w:ascii="仿宋" w:hAnsi="仿宋" w:eastAsia="仿宋" w:cs="Times New Roman"/>
          <w:kern w:val="2"/>
          <w:sz w:val="32"/>
          <w:szCs w:val="34"/>
          <w:lang w:val="en-US" w:eastAsia="zh-CN" w:bidi="ar-SA"/>
        </w:rPr>
        <w:t>项采购项目能够正常履约验收。</w:t>
      </w:r>
    </w:p>
    <w:p w14:paraId="32060E65">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仿宋" w:hAnsi="仿宋" w:eastAsia="仿宋" w:cs="Times New Roman"/>
          <w:kern w:val="2"/>
          <w:sz w:val="32"/>
          <w:szCs w:val="34"/>
          <w:lang w:val="en-US" w:eastAsia="zh-CN" w:bidi="ar-SA"/>
        </w:rPr>
      </w:pPr>
      <w:r>
        <w:rPr>
          <w:rFonts w:hint="default" w:ascii="Times New Roman" w:hAnsi="Times New Roman" w:cs="Times New Roman"/>
          <w:b/>
          <w:bCs/>
          <w:szCs w:val="32"/>
          <w:lang w:val="en-US" w:eastAsia="zh-CN"/>
        </w:rPr>
        <w:t>6.资产管理</w:t>
      </w:r>
      <w:r>
        <w:rPr>
          <w:rFonts w:hint="default" w:ascii="仿宋" w:hAnsi="仿宋" w:eastAsia="仿宋" w:cs="Times New Roman"/>
          <w:b/>
          <w:bCs/>
          <w:kern w:val="2"/>
          <w:sz w:val="32"/>
          <w:szCs w:val="34"/>
          <w:lang w:val="en-US" w:eastAsia="zh-CN" w:bidi="ar-SA"/>
        </w:rPr>
        <w:t>(满</w:t>
      </w:r>
      <w:r>
        <w:rPr>
          <w:rFonts w:hint="default" w:ascii="Times New Roman" w:hAnsi="Times New Roman" w:cs="Times New Roman"/>
          <w:b/>
          <w:bCs/>
          <w:szCs w:val="32"/>
          <w:lang w:val="en-US" w:eastAsia="zh-CN"/>
        </w:rPr>
        <w:t>分</w:t>
      </w:r>
      <w:r>
        <w:rPr>
          <w:rFonts w:hint="eastAsia" w:cs="Times New Roman"/>
          <w:b/>
          <w:bCs/>
          <w:szCs w:val="32"/>
          <w:lang w:val="en-US" w:eastAsia="zh-CN"/>
        </w:rPr>
        <w:t>9</w:t>
      </w:r>
      <w:r>
        <w:rPr>
          <w:rFonts w:hint="default" w:ascii="Times New Roman" w:hAnsi="Times New Roman" w:cs="Times New Roman"/>
          <w:b/>
          <w:bCs/>
          <w:szCs w:val="32"/>
          <w:lang w:val="en-US" w:eastAsia="zh-CN"/>
        </w:rPr>
        <w:t>分，得分</w:t>
      </w:r>
      <w:r>
        <w:rPr>
          <w:rFonts w:hint="eastAsia" w:cs="Times New Roman"/>
          <w:b/>
          <w:bCs/>
          <w:szCs w:val="32"/>
          <w:lang w:val="en-US" w:eastAsia="zh-CN"/>
        </w:rPr>
        <w:t>7.5</w:t>
      </w:r>
      <w:r>
        <w:rPr>
          <w:rFonts w:hint="default" w:ascii="Times New Roman" w:hAnsi="Times New Roman" w:cs="Times New Roman"/>
          <w:b/>
          <w:bCs/>
          <w:szCs w:val="32"/>
          <w:lang w:val="en-US" w:eastAsia="zh-CN"/>
        </w:rPr>
        <w:t>分</w:t>
      </w:r>
      <w:r>
        <w:rPr>
          <w:rFonts w:hint="eastAsia" w:cs="Times New Roman"/>
          <w:b/>
          <w:bCs/>
          <w:szCs w:val="32"/>
          <w:lang w:val="en-US" w:eastAsia="zh-CN"/>
        </w:rPr>
        <w:t>）。</w:t>
      </w:r>
    </w:p>
    <w:p w14:paraId="6F6741F8">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仿宋" w:hAnsi="仿宋" w:eastAsia="仿宋" w:cs="Times New Roman"/>
          <w:kern w:val="2"/>
          <w:sz w:val="32"/>
          <w:szCs w:val="34"/>
          <w:lang w:val="en-US" w:eastAsia="zh-CN" w:bidi="ar-SA"/>
        </w:rPr>
      </w:pPr>
      <w:r>
        <w:rPr>
          <w:rFonts w:hint="default" w:ascii="仿宋" w:hAnsi="仿宋" w:eastAsia="仿宋" w:cs="Times New Roman"/>
          <w:b/>
          <w:bCs/>
          <w:kern w:val="2"/>
          <w:sz w:val="32"/>
          <w:szCs w:val="34"/>
          <w:lang w:val="en-US" w:eastAsia="zh-CN" w:bidi="ar-SA"/>
        </w:rPr>
        <w:t>资产配置合规性(满分2分，得分2分)。</w:t>
      </w:r>
      <w:r>
        <w:rPr>
          <w:rFonts w:hint="default" w:ascii="仿宋" w:hAnsi="仿宋" w:eastAsia="仿宋" w:cs="Times New Roman"/>
          <w:kern w:val="2"/>
          <w:sz w:val="32"/>
          <w:szCs w:val="34"/>
          <w:lang w:val="en-US" w:eastAsia="zh-CN" w:bidi="ar-SA"/>
        </w:rPr>
        <w:t>市委党校资产配置合规，未出现超标准情况。根据办公和教学需要，科学合理规划资产配置，充分发挥存量资产的作用，避免重复配置，造成资源浪费</w:t>
      </w:r>
      <w:r>
        <w:rPr>
          <w:rFonts w:hint="eastAsia" w:ascii="仿宋" w:hAnsi="仿宋" w:eastAsia="仿宋" w:cs="Times New Roman"/>
          <w:kern w:val="2"/>
          <w:sz w:val="32"/>
          <w:szCs w:val="34"/>
          <w:lang w:val="en-US" w:eastAsia="zh-CN" w:bidi="ar-SA"/>
        </w:rPr>
        <w:t>，</w:t>
      </w:r>
      <w:r>
        <w:rPr>
          <w:rFonts w:hint="default" w:ascii="仿宋" w:hAnsi="仿宋" w:eastAsia="仿宋" w:cs="Times New Roman"/>
          <w:kern w:val="2"/>
          <w:sz w:val="32"/>
          <w:szCs w:val="34"/>
          <w:lang w:val="en-US" w:eastAsia="zh-CN" w:bidi="ar-SA"/>
        </w:rPr>
        <w:t>人均办公室面积和办公设备配置情况符合规定标准</w:t>
      </w:r>
      <w:r>
        <w:rPr>
          <w:rFonts w:hint="eastAsia" w:ascii="仿宋" w:hAnsi="仿宋" w:eastAsia="仿宋" w:cs="Times New Roman"/>
          <w:kern w:val="2"/>
          <w:sz w:val="32"/>
          <w:szCs w:val="34"/>
          <w:lang w:val="en-US" w:eastAsia="zh-CN" w:bidi="ar-SA"/>
        </w:rPr>
        <w:t>。</w:t>
      </w:r>
    </w:p>
    <w:p w14:paraId="786E4B5A">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仿宋" w:hAnsi="仿宋" w:eastAsia="仿宋" w:cs="Times New Roman"/>
          <w:color w:val="auto"/>
          <w:kern w:val="2"/>
          <w:sz w:val="32"/>
          <w:szCs w:val="34"/>
          <w:lang w:val="en-US" w:eastAsia="zh-CN" w:bidi="ar-SA"/>
        </w:rPr>
      </w:pPr>
      <w:r>
        <w:rPr>
          <w:rFonts w:hint="default" w:ascii="仿宋" w:hAnsi="仿宋" w:eastAsia="仿宋" w:cs="Times New Roman"/>
          <w:b/>
          <w:bCs/>
          <w:kern w:val="2"/>
          <w:sz w:val="32"/>
          <w:szCs w:val="34"/>
          <w:lang w:val="en-US" w:eastAsia="zh-CN" w:bidi="ar-SA"/>
        </w:rPr>
        <w:t>资产收益上缴的及时性(满分</w:t>
      </w:r>
      <w:r>
        <w:rPr>
          <w:rFonts w:hint="eastAsia" w:ascii="仿宋" w:hAnsi="仿宋" w:eastAsia="仿宋" w:cs="Times New Roman"/>
          <w:b/>
          <w:bCs/>
          <w:kern w:val="2"/>
          <w:sz w:val="32"/>
          <w:szCs w:val="34"/>
          <w:lang w:val="en-US" w:eastAsia="zh-CN" w:bidi="ar-SA"/>
        </w:rPr>
        <w:t>2</w:t>
      </w:r>
      <w:r>
        <w:rPr>
          <w:rFonts w:hint="default" w:ascii="仿宋" w:hAnsi="仿宋" w:eastAsia="仿宋" w:cs="Times New Roman"/>
          <w:b/>
          <w:bCs/>
          <w:kern w:val="2"/>
          <w:sz w:val="32"/>
          <w:szCs w:val="34"/>
          <w:lang w:val="en-US" w:eastAsia="zh-CN" w:bidi="ar-SA"/>
        </w:rPr>
        <w:t>分，得分</w:t>
      </w:r>
      <w:r>
        <w:rPr>
          <w:rFonts w:hint="eastAsia" w:ascii="仿宋" w:hAnsi="仿宋" w:eastAsia="仿宋" w:cs="Times New Roman"/>
          <w:b/>
          <w:bCs/>
          <w:kern w:val="2"/>
          <w:sz w:val="32"/>
          <w:szCs w:val="34"/>
          <w:lang w:val="en-US" w:eastAsia="zh-CN" w:bidi="ar-SA"/>
        </w:rPr>
        <w:t>1</w:t>
      </w:r>
      <w:r>
        <w:rPr>
          <w:rFonts w:hint="default" w:ascii="仿宋" w:hAnsi="仿宋" w:eastAsia="仿宋" w:cs="Times New Roman"/>
          <w:b/>
          <w:bCs/>
          <w:kern w:val="2"/>
          <w:sz w:val="32"/>
          <w:szCs w:val="34"/>
          <w:lang w:val="en-US" w:eastAsia="zh-CN" w:bidi="ar-SA"/>
        </w:rPr>
        <w:t>.5分)。</w:t>
      </w:r>
      <w:r>
        <w:rPr>
          <w:rFonts w:hint="default" w:ascii="仿宋" w:hAnsi="仿宋" w:eastAsia="仿宋" w:cs="Times New Roman"/>
          <w:kern w:val="2"/>
          <w:sz w:val="32"/>
          <w:szCs w:val="34"/>
          <w:lang w:val="en-US" w:eastAsia="zh-CN" w:bidi="ar-SA"/>
        </w:rPr>
        <w:t>市委党校202</w:t>
      </w:r>
      <w:r>
        <w:rPr>
          <w:rFonts w:hint="eastAsia" w:ascii="仿宋" w:hAnsi="仿宋" w:eastAsia="仿宋" w:cs="Times New Roman"/>
          <w:kern w:val="2"/>
          <w:sz w:val="32"/>
          <w:szCs w:val="34"/>
          <w:lang w:val="en-US" w:eastAsia="zh-CN" w:bidi="ar-SA"/>
        </w:rPr>
        <w:t>5年</w:t>
      </w:r>
      <w:r>
        <w:rPr>
          <w:rFonts w:hint="default" w:ascii="仿宋" w:hAnsi="仿宋" w:eastAsia="仿宋" w:cs="Times New Roman"/>
          <w:kern w:val="2"/>
          <w:sz w:val="32"/>
          <w:szCs w:val="34"/>
          <w:lang w:val="en-US" w:eastAsia="zh-CN" w:bidi="ar-SA"/>
        </w:rPr>
        <w:t>实现房屋</w:t>
      </w:r>
      <w:r>
        <w:rPr>
          <w:rFonts w:hint="eastAsia" w:ascii="仿宋" w:hAnsi="仿宋" w:eastAsia="仿宋" w:cs="Times New Roman"/>
          <w:kern w:val="2"/>
          <w:sz w:val="32"/>
          <w:szCs w:val="34"/>
          <w:lang w:val="en-US" w:eastAsia="zh-CN" w:bidi="ar-SA"/>
        </w:rPr>
        <w:t>、课室</w:t>
      </w:r>
      <w:r>
        <w:rPr>
          <w:rFonts w:hint="default" w:ascii="仿宋" w:hAnsi="仿宋" w:eastAsia="仿宋" w:cs="Times New Roman"/>
          <w:kern w:val="2"/>
          <w:sz w:val="32"/>
          <w:szCs w:val="34"/>
          <w:lang w:val="en-US" w:eastAsia="zh-CN" w:bidi="ar-SA"/>
        </w:rPr>
        <w:t>出租收入</w:t>
      </w:r>
      <w:r>
        <w:rPr>
          <w:rFonts w:hint="eastAsia" w:ascii="仿宋" w:hAnsi="仿宋" w:eastAsia="仿宋" w:cs="Times New Roman"/>
          <w:kern w:val="2"/>
          <w:sz w:val="32"/>
          <w:szCs w:val="34"/>
          <w:lang w:val="en-US" w:eastAsia="zh-CN" w:bidi="ar-SA"/>
        </w:rPr>
        <w:t>55.68</w:t>
      </w:r>
      <w:r>
        <w:rPr>
          <w:rFonts w:hint="default" w:ascii="仿宋" w:hAnsi="仿宋" w:eastAsia="仿宋" w:cs="Times New Roman"/>
          <w:kern w:val="2"/>
          <w:sz w:val="32"/>
          <w:szCs w:val="34"/>
          <w:lang w:val="en-US" w:eastAsia="zh-CN" w:bidi="ar-SA"/>
        </w:rPr>
        <w:t>万元，按照财政预算和政府非税收入管理规定，国有资产收益收入上缴国库</w:t>
      </w:r>
      <w:r>
        <w:rPr>
          <w:rFonts w:hint="eastAsia" w:ascii="仿宋" w:hAnsi="仿宋" w:eastAsia="仿宋" w:cs="Times New Roman"/>
          <w:kern w:val="2"/>
          <w:sz w:val="32"/>
          <w:szCs w:val="34"/>
          <w:lang w:val="en-US" w:eastAsia="zh-CN" w:bidi="ar-SA"/>
        </w:rPr>
        <w:t>。</w:t>
      </w:r>
      <w:r>
        <w:rPr>
          <w:rFonts w:hint="eastAsia" w:ascii="仿宋" w:hAnsi="仿宋" w:eastAsia="仿宋" w:cs="Times New Roman"/>
          <w:color w:val="auto"/>
          <w:kern w:val="2"/>
          <w:sz w:val="32"/>
          <w:szCs w:val="34"/>
          <w:lang w:val="en-US" w:eastAsia="zh-CN" w:bidi="ar-SA"/>
        </w:rPr>
        <w:t>另外还有一笔课室租金收入9560元在12月底收到，非税收入系统已进行年结维护系统关闭导致收入无法上缴，扣0.5分</w:t>
      </w:r>
      <w:r>
        <w:rPr>
          <w:rFonts w:hint="default" w:ascii="仿宋" w:hAnsi="仿宋" w:eastAsia="仿宋" w:cs="Times New Roman"/>
          <w:color w:val="auto"/>
          <w:kern w:val="2"/>
          <w:sz w:val="32"/>
          <w:szCs w:val="34"/>
          <w:lang w:val="en-US" w:eastAsia="zh-CN" w:bidi="ar-SA"/>
        </w:rPr>
        <w:t>。</w:t>
      </w:r>
    </w:p>
    <w:p w14:paraId="3FCD28FC">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仿宋" w:hAnsi="仿宋" w:eastAsia="仿宋" w:cs="Times New Roman"/>
          <w:kern w:val="2"/>
          <w:sz w:val="32"/>
          <w:szCs w:val="34"/>
          <w:lang w:val="en-US" w:eastAsia="zh-CN" w:bidi="ar-SA"/>
        </w:rPr>
      </w:pPr>
      <w:r>
        <w:rPr>
          <w:rFonts w:hint="default" w:ascii="仿宋" w:hAnsi="仿宋" w:eastAsia="仿宋" w:cs="Times New Roman"/>
          <w:b/>
          <w:bCs/>
          <w:kern w:val="2"/>
          <w:sz w:val="32"/>
          <w:szCs w:val="34"/>
          <w:lang w:val="en-US" w:eastAsia="zh-CN" w:bidi="ar-SA"/>
        </w:rPr>
        <w:t>资产盘点情况(满分1分，得分</w:t>
      </w:r>
      <w:r>
        <w:rPr>
          <w:rFonts w:hint="eastAsia" w:ascii="仿宋" w:hAnsi="仿宋" w:eastAsia="仿宋" w:cs="Times New Roman"/>
          <w:b/>
          <w:bCs/>
          <w:kern w:val="2"/>
          <w:sz w:val="32"/>
          <w:szCs w:val="34"/>
          <w:lang w:val="en-US" w:eastAsia="zh-CN" w:bidi="ar-SA"/>
        </w:rPr>
        <w:t>0</w:t>
      </w:r>
      <w:r>
        <w:rPr>
          <w:rFonts w:hint="default" w:ascii="仿宋" w:hAnsi="仿宋" w:eastAsia="仿宋" w:cs="Times New Roman"/>
          <w:b/>
          <w:bCs/>
          <w:kern w:val="2"/>
          <w:sz w:val="32"/>
          <w:szCs w:val="34"/>
          <w:lang w:val="en-US" w:eastAsia="zh-CN" w:bidi="ar-SA"/>
        </w:rPr>
        <w:t>分)。</w:t>
      </w:r>
      <w:r>
        <w:rPr>
          <w:rFonts w:hint="default" w:ascii="仿宋" w:hAnsi="仿宋" w:eastAsia="仿宋" w:cs="Times New Roman"/>
          <w:kern w:val="2"/>
          <w:sz w:val="32"/>
          <w:szCs w:val="34"/>
          <w:lang w:val="en-US" w:eastAsia="zh-CN" w:bidi="ar-SA"/>
        </w:rPr>
        <w:t>202</w:t>
      </w:r>
      <w:r>
        <w:rPr>
          <w:rFonts w:hint="eastAsia" w:ascii="仿宋" w:hAnsi="仿宋" w:eastAsia="仿宋" w:cs="Times New Roman"/>
          <w:kern w:val="2"/>
          <w:sz w:val="32"/>
          <w:szCs w:val="34"/>
          <w:lang w:val="en-US" w:eastAsia="zh-CN" w:bidi="ar-SA"/>
        </w:rPr>
        <w:t>5</w:t>
      </w:r>
      <w:r>
        <w:rPr>
          <w:rFonts w:hint="default" w:ascii="仿宋" w:hAnsi="仿宋" w:eastAsia="仿宋" w:cs="Times New Roman"/>
          <w:kern w:val="2"/>
          <w:sz w:val="32"/>
          <w:szCs w:val="34"/>
          <w:lang w:val="en-US" w:eastAsia="zh-CN" w:bidi="ar-SA"/>
        </w:rPr>
        <w:t>年</w:t>
      </w:r>
      <w:r>
        <w:rPr>
          <w:rFonts w:hint="eastAsia" w:ascii="仿宋" w:hAnsi="仿宋" w:eastAsia="仿宋" w:cs="Times New Roman"/>
          <w:kern w:val="2"/>
          <w:sz w:val="32"/>
          <w:szCs w:val="34"/>
          <w:lang w:val="en-US" w:eastAsia="zh-CN" w:bidi="ar-SA"/>
        </w:rPr>
        <w:t>未</w:t>
      </w:r>
      <w:r>
        <w:rPr>
          <w:rFonts w:hint="default" w:ascii="仿宋" w:hAnsi="仿宋" w:eastAsia="仿宋" w:cs="Times New Roman"/>
          <w:kern w:val="2"/>
          <w:sz w:val="32"/>
          <w:szCs w:val="34"/>
          <w:lang w:val="en-US" w:eastAsia="zh-CN" w:bidi="ar-SA"/>
        </w:rPr>
        <w:t>进行资产情况盘点，扣</w:t>
      </w:r>
      <w:r>
        <w:rPr>
          <w:rFonts w:hint="eastAsia" w:ascii="仿宋" w:hAnsi="仿宋" w:eastAsia="仿宋" w:cs="Times New Roman"/>
          <w:kern w:val="2"/>
          <w:sz w:val="32"/>
          <w:szCs w:val="34"/>
          <w:lang w:val="en-US" w:eastAsia="zh-CN" w:bidi="ar-SA"/>
        </w:rPr>
        <w:t>1</w:t>
      </w:r>
      <w:r>
        <w:rPr>
          <w:rFonts w:hint="default" w:ascii="仿宋" w:hAnsi="仿宋" w:eastAsia="仿宋" w:cs="Times New Roman"/>
          <w:kern w:val="2"/>
          <w:sz w:val="32"/>
          <w:szCs w:val="34"/>
          <w:lang w:val="en-US" w:eastAsia="zh-CN" w:bidi="ar-SA"/>
        </w:rPr>
        <w:t>分。</w:t>
      </w:r>
    </w:p>
    <w:p w14:paraId="325C1FBD">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b/>
          <w:bCs/>
          <w:kern w:val="2"/>
          <w:sz w:val="32"/>
          <w:szCs w:val="34"/>
          <w:lang w:val="en-US" w:eastAsia="zh-CN" w:bidi="ar-SA"/>
        </w:rPr>
        <w:t>资产管理合规性</w:t>
      </w:r>
      <w:r>
        <w:rPr>
          <w:rFonts w:hint="default" w:ascii="仿宋" w:hAnsi="仿宋" w:eastAsia="仿宋" w:cs="Times New Roman"/>
          <w:b/>
          <w:bCs/>
          <w:kern w:val="2"/>
          <w:sz w:val="32"/>
          <w:szCs w:val="34"/>
          <w:lang w:val="en-US" w:eastAsia="zh-CN" w:bidi="ar-SA"/>
        </w:rPr>
        <w:t>(满分</w:t>
      </w:r>
      <w:r>
        <w:rPr>
          <w:rFonts w:hint="eastAsia" w:ascii="仿宋" w:hAnsi="仿宋" w:eastAsia="仿宋" w:cs="Times New Roman"/>
          <w:b/>
          <w:bCs/>
          <w:kern w:val="2"/>
          <w:sz w:val="32"/>
          <w:szCs w:val="34"/>
          <w:lang w:val="en-US" w:eastAsia="zh-CN" w:bidi="ar-SA"/>
        </w:rPr>
        <w:t>2</w:t>
      </w:r>
      <w:r>
        <w:rPr>
          <w:rFonts w:hint="default" w:ascii="仿宋" w:hAnsi="仿宋" w:eastAsia="仿宋" w:cs="Times New Roman"/>
          <w:b/>
          <w:bCs/>
          <w:kern w:val="2"/>
          <w:sz w:val="32"/>
          <w:szCs w:val="34"/>
          <w:lang w:val="en-US" w:eastAsia="zh-CN" w:bidi="ar-SA"/>
        </w:rPr>
        <w:t>分，得分</w:t>
      </w:r>
      <w:r>
        <w:rPr>
          <w:rFonts w:hint="eastAsia" w:ascii="仿宋" w:hAnsi="仿宋" w:eastAsia="仿宋" w:cs="Times New Roman"/>
          <w:b/>
          <w:bCs/>
          <w:kern w:val="2"/>
          <w:sz w:val="32"/>
          <w:szCs w:val="34"/>
          <w:lang w:val="en-US" w:eastAsia="zh-CN" w:bidi="ar-SA"/>
        </w:rPr>
        <w:t>2</w:t>
      </w:r>
      <w:r>
        <w:rPr>
          <w:rFonts w:hint="default" w:ascii="仿宋" w:hAnsi="仿宋" w:eastAsia="仿宋" w:cs="Times New Roman"/>
          <w:b/>
          <w:bCs/>
          <w:kern w:val="2"/>
          <w:sz w:val="32"/>
          <w:szCs w:val="34"/>
          <w:lang w:val="en-US" w:eastAsia="zh-CN" w:bidi="ar-SA"/>
        </w:rPr>
        <w:t>分)。</w:t>
      </w:r>
      <w:r>
        <w:rPr>
          <w:rFonts w:hint="default" w:ascii="仿宋" w:hAnsi="仿宋" w:eastAsia="仿宋" w:cs="Times New Roman"/>
          <w:kern w:val="2"/>
          <w:sz w:val="32"/>
          <w:szCs w:val="34"/>
          <w:lang w:val="en-US" w:eastAsia="zh-CN" w:bidi="ar-SA"/>
        </w:rPr>
        <w:t>根据《阳江市委党校202</w:t>
      </w:r>
      <w:r>
        <w:rPr>
          <w:rFonts w:hint="eastAsia" w:ascii="仿宋" w:hAnsi="仿宋" w:eastAsia="仿宋" w:cs="Times New Roman"/>
          <w:kern w:val="2"/>
          <w:sz w:val="32"/>
          <w:szCs w:val="34"/>
          <w:lang w:val="en-US" w:eastAsia="zh-CN" w:bidi="ar-SA"/>
        </w:rPr>
        <w:t>5</w:t>
      </w:r>
      <w:r>
        <w:rPr>
          <w:rFonts w:hint="default" w:ascii="仿宋" w:hAnsi="仿宋" w:eastAsia="仿宋" w:cs="Times New Roman"/>
          <w:kern w:val="2"/>
          <w:sz w:val="32"/>
          <w:szCs w:val="34"/>
          <w:lang w:val="en-US" w:eastAsia="zh-CN" w:bidi="ar-SA"/>
        </w:rPr>
        <w:t>年度行政事业单位国有资产分析报告》，包含资产总量、构成、变动、资产配置、使用、处置、收益情况等内容，数据完整、准确</w:t>
      </w:r>
      <w:r>
        <w:rPr>
          <w:rFonts w:hint="eastAsia" w:ascii="仿宋" w:hAnsi="仿宋" w:eastAsia="仿宋" w:cs="Times New Roman"/>
          <w:kern w:val="2"/>
          <w:sz w:val="32"/>
          <w:szCs w:val="34"/>
          <w:lang w:val="en-US" w:eastAsia="zh-CN" w:bidi="ar-SA"/>
        </w:rPr>
        <w:t>；</w:t>
      </w:r>
      <w:r>
        <w:rPr>
          <w:rFonts w:hint="default" w:ascii="仿宋" w:hAnsi="仿宋" w:eastAsia="仿宋" w:cs="Times New Roman"/>
          <w:kern w:val="2"/>
          <w:sz w:val="32"/>
          <w:szCs w:val="34"/>
          <w:lang w:val="en-US" w:eastAsia="zh-CN" w:bidi="ar-SA"/>
        </w:rPr>
        <w:t>根据《市委党校资产台账》，资产账与财务账、资产实体相符</w:t>
      </w:r>
      <w:r>
        <w:rPr>
          <w:rFonts w:hint="eastAsia" w:ascii="仿宋" w:hAnsi="仿宋" w:eastAsia="仿宋" w:cs="Times New Roman"/>
          <w:kern w:val="2"/>
          <w:sz w:val="32"/>
          <w:szCs w:val="34"/>
          <w:lang w:val="en-US" w:eastAsia="zh-CN" w:bidi="ar-SA"/>
        </w:rPr>
        <w:t>；</w:t>
      </w:r>
    </w:p>
    <w:p w14:paraId="5BBACCA4">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仿宋" w:hAnsi="仿宋" w:eastAsia="仿宋" w:cs="Times New Roman"/>
          <w:kern w:val="2"/>
          <w:sz w:val="32"/>
          <w:szCs w:val="34"/>
          <w:lang w:val="en-US" w:eastAsia="zh-CN" w:bidi="ar-SA"/>
        </w:rPr>
      </w:pPr>
      <w:r>
        <w:rPr>
          <w:rFonts w:hint="default" w:ascii="仿宋" w:hAnsi="仿宋" w:eastAsia="仿宋" w:cs="Times New Roman"/>
          <w:b/>
          <w:bCs/>
          <w:kern w:val="2"/>
          <w:sz w:val="32"/>
          <w:szCs w:val="34"/>
          <w:lang w:val="en-US" w:eastAsia="zh-CN" w:bidi="ar-SA"/>
        </w:rPr>
        <w:t>固定资产利用率(满分2分，得分2分)。</w:t>
      </w:r>
      <w:r>
        <w:rPr>
          <w:rFonts w:hint="default" w:ascii="仿宋" w:hAnsi="仿宋" w:eastAsia="仿宋" w:cs="Times New Roman"/>
          <w:b w:val="0"/>
          <w:bCs w:val="0"/>
          <w:kern w:val="2"/>
          <w:sz w:val="32"/>
          <w:szCs w:val="34"/>
          <w:lang w:val="en-US" w:eastAsia="zh-CN" w:bidi="ar-SA"/>
        </w:rPr>
        <w:t>市委党校202</w:t>
      </w:r>
      <w:r>
        <w:rPr>
          <w:rFonts w:hint="eastAsia" w:ascii="仿宋" w:hAnsi="仿宋" w:eastAsia="仿宋" w:cs="Times New Roman"/>
          <w:b w:val="0"/>
          <w:bCs w:val="0"/>
          <w:kern w:val="2"/>
          <w:sz w:val="32"/>
          <w:szCs w:val="34"/>
          <w:lang w:val="en-US" w:eastAsia="zh-CN" w:bidi="ar-SA"/>
        </w:rPr>
        <w:t>5</w:t>
      </w:r>
      <w:r>
        <w:rPr>
          <w:rFonts w:hint="default" w:ascii="仿宋" w:hAnsi="仿宋" w:eastAsia="仿宋" w:cs="Times New Roman"/>
          <w:b w:val="0"/>
          <w:bCs w:val="0"/>
          <w:kern w:val="2"/>
          <w:sz w:val="32"/>
          <w:szCs w:val="34"/>
          <w:lang w:val="en-US" w:eastAsia="zh-CN" w:bidi="ar-SA"/>
        </w:rPr>
        <w:t>年固定资产总额(原值)</w:t>
      </w:r>
      <w:r>
        <w:rPr>
          <w:rFonts w:hint="eastAsia" w:ascii="仿宋" w:hAnsi="仿宋" w:eastAsia="仿宋" w:cs="Times New Roman"/>
          <w:b w:val="0"/>
          <w:bCs w:val="0"/>
          <w:kern w:val="2"/>
          <w:sz w:val="32"/>
          <w:szCs w:val="34"/>
          <w:lang w:val="en-US" w:eastAsia="zh-CN" w:bidi="ar-SA"/>
        </w:rPr>
        <w:t>6021.26万元</w:t>
      </w:r>
      <w:r>
        <w:rPr>
          <w:rFonts w:hint="default" w:ascii="仿宋" w:hAnsi="仿宋" w:eastAsia="仿宋" w:cs="Times New Roman"/>
          <w:kern w:val="2"/>
          <w:sz w:val="32"/>
          <w:szCs w:val="34"/>
          <w:lang w:val="en-US" w:eastAsia="zh-CN" w:bidi="ar-SA"/>
        </w:rPr>
        <w:t>，在用固定资产总额(原值)</w:t>
      </w:r>
      <w:r>
        <w:rPr>
          <w:rFonts w:hint="eastAsia" w:ascii="仿宋" w:hAnsi="仿宋" w:eastAsia="仿宋" w:cs="Times New Roman"/>
          <w:kern w:val="2"/>
          <w:sz w:val="32"/>
          <w:szCs w:val="34"/>
          <w:lang w:val="en-US" w:eastAsia="zh-CN" w:bidi="ar-SA"/>
        </w:rPr>
        <w:t>5540.07</w:t>
      </w:r>
      <w:r>
        <w:rPr>
          <w:rFonts w:hint="default" w:ascii="仿宋" w:hAnsi="仿宋" w:eastAsia="仿宋" w:cs="Times New Roman"/>
          <w:kern w:val="2"/>
          <w:sz w:val="32"/>
          <w:szCs w:val="34"/>
          <w:lang w:val="en-US" w:eastAsia="zh-CN" w:bidi="ar-SA"/>
        </w:rPr>
        <w:t>万元</w:t>
      </w:r>
      <w:r>
        <w:rPr>
          <w:rFonts w:hint="eastAsia" w:ascii="仿宋" w:hAnsi="仿宋" w:eastAsia="仿宋" w:cs="Times New Roman"/>
          <w:kern w:val="2"/>
          <w:sz w:val="32"/>
          <w:szCs w:val="34"/>
          <w:lang w:val="en-US" w:eastAsia="zh-CN" w:bidi="ar-SA"/>
        </w:rPr>
        <w:t>，</w:t>
      </w:r>
      <w:r>
        <w:rPr>
          <w:rFonts w:hint="default" w:ascii="仿宋" w:hAnsi="仿宋" w:eastAsia="仿宋" w:cs="Times New Roman"/>
          <w:kern w:val="2"/>
          <w:sz w:val="32"/>
          <w:szCs w:val="34"/>
          <w:lang w:val="en-US" w:eastAsia="zh-CN" w:bidi="ar-SA"/>
        </w:rPr>
        <w:t>固定资产利用率</w:t>
      </w:r>
      <w:r>
        <w:rPr>
          <w:rFonts w:hint="eastAsia" w:ascii="仿宋" w:hAnsi="仿宋" w:eastAsia="仿宋" w:cs="Times New Roman"/>
          <w:kern w:val="2"/>
          <w:sz w:val="32"/>
          <w:szCs w:val="34"/>
          <w:lang w:val="en-US" w:eastAsia="zh-CN" w:bidi="ar-SA"/>
        </w:rPr>
        <w:t>92.01</w:t>
      </w:r>
      <w:r>
        <w:rPr>
          <w:rFonts w:hint="default" w:ascii="仿宋" w:hAnsi="仿宋" w:eastAsia="仿宋" w:cs="Times New Roman"/>
          <w:kern w:val="2"/>
          <w:sz w:val="32"/>
          <w:szCs w:val="34"/>
          <w:lang w:val="en-US" w:eastAsia="zh-CN" w:bidi="ar-SA"/>
        </w:rPr>
        <w:t>%。</w:t>
      </w:r>
    </w:p>
    <w:p w14:paraId="6D486F1D">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Times New Roman" w:hAnsi="Times New Roman" w:cs="Times New Roman"/>
          <w:b/>
          <w:bCs/>
          <w:szCs w:val="32"/>
          <w:lang w:val="en-US" w:eastAsia="zh-CN"/>
        </w:rPr>
      </w:pPr>
      <w:r>
        <w:rPr>
          <w:rFonts w:hint="default" w:ascii="Times New Roman" w:hAnsi="Times New Roman" w:cs="Times New Roman"/>
          <w:b/>
          <w:bCs/>
          <w:szCs w:val="32"/>
          <w:lang w:val="en-US" w:eastAsia="zh-CN"/>
        </w:rPr>
        <w:t>7.运行成本</w:t>
      </w:r>
      <w:r>
        <w:rPr>
          <w:rFonts w:hint="default" w:ascii="仿宋" w:hAnsi="仿宋" w:eastAsia="仿宋" w:cs="Times New Roman"/>
          <w:b/>
          <w:bCs/>
          <w:kern w:val="2"/>
          <w:sz w:val="32"/>
          <w:szCs w:val="34"/>
          <w:lang w:val="en-US" w:eastAsia="zh-CN" w:bidi="ar-SA"/>
        </w:rPr>
        <w:t>(满分</w:t>
      </w:r>
      <w:r>
        <w:rPr>
          <w:rFonts w:hint="eastAsia" w:ascii="仿宋" w:hAnsi="仿宋" w:eastAsia="仿宋" w:cs="Times New Roman"/>
          <w:b/>
          <w:bCs/>
          <w:kern w:val="2"/>
          <w:sz w:val="32"/>
          <w:szCs w:val="34"/>
          <w:lang w:val="en-US" w:eastAsia="zh-CN" w:bidi="ar-SA"/>
        </w:rPr>
        <w:t>3</w:t>
      </w:r>
      <w:r>
        <w:rPr>
          <w:rFonts w:hint="default" w:ascii="仿宋" w:hAnsi="仿宋" w:eastAsia="仿宋" w:cs="Times New Roman"/>
          <w:b/>
          <w:bCs/>
          <w:kern w:val="2"/>
          <w:sz w:val="32"/>
          <w:szCs w:val="34"/>
          <w:lang w:val="en-US" w:eastAsia="zh-CN" w:bidi="ar-SA"/>
        </w:rPr>
        <w:t>分，得分</w:t>
      </w:r>
      <w:r>
        <w:rPr>
          <w:rFonts w:hint="eastAsia" w:ascii="仿宋" w:hAnsi="仿宋" w:eastAsia="仿宋" w:cs="Times New Roman"/>
          <w:b/>
          <w:bCs/>
          <w:kern w:val="2"/>
          <w:sz w:val="32"/>
          <w:szCs w:val="34"/>
          <w:lang w:val="en-US" w:eastAsia="zh-CN" w:bidi="ar-SA"/>
        </w:rPr>
        <w:t>3</w:t>
      </w:r>
      <w:r>
        <w:rPr>
          <w:rFonts w:hint="default" w:ascii="仿宋" w:hAnsi="仿宋" w:eastAsia="仿宋" w:cs="Times New Roman"/>
          <w:b/>
          <w:bCs/>
          <w:kern w:val="2"/>
          <w:sz w:val="32"/>
          <w:szCs w:val="34"/>
          <w:lang w:val="en-US" w:eastAsia="zh-CN" w:bidi="ar-SA"/>
        </w:rPr>
        <w:t>分)。</w:t>
      </w:r>
    </w:p>
    <w:p w14:paraId="244FD55D">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default" w:ascii="仿宋" w:hAnsi="仿宋" w:eastAsia="仿宋" w:cs="Times New Roman"/>
          <w:kern w:val="2"/>
          <w:sz w:val="32"/>
          <w:szCs w:val="34"/>
          <w:lang w:val="en-US" w:eastAsia="zh-CN" w:bidi="ar-SA"/>
        </w:rPr>
      </w:pPr>
      <w:r>
        <w:rPr>
          <w:rFonts w:hint="default" w:ascii="仿宋" w:hAnsi="仿宋" w:eastAsia="仿宋" w:cs="Times New Roman"/>
          <w:b/>
          <w:bCs/>
          <w:kern w:val="2"/>
          <w:sz w:val="32"/>
          <w:szCs w:val="34"/>
          <w:lang w:val="en-US" w:eastAsia="zh-CN" w:bidi="ar-SA"/>
        </w:rPr>
        <w:t>“三公”经费控制情况(满分</w:t>
      </w:r>
      <w:r>
        <w:rPr>
          <w:rFonts w:hint="eastAsia" w:ascii="仿宋" w:hAnsi="仿宋" w:eastAsia="仿宋" w:cs="Times New Roman"/>
          <w:b/>
          <w:bCs/>
          <w:kern w:val="2"/>
          <w:sz w:val="32"/>
          <w:szCs w:val="34"/>
          <w:lang w:val="en-US" w:eastAsia="zh-CN" w:bidi="ar-SA"/>
        </w:rPr>
        <w:t>3</w:t>
      </w:r>
      <w:r>
        <w:rPr>
          <w:rFonts w:hint="default" w:ascii="仿宋" w:hAnsi="仿宋" w:eastAsia="仿宋" w:cs="Times New Roman"/>
          <w:b/>
          <w:bCs/>
          <w:kern w:val="2"/>
          <w:sz w:val="32"/>
          <w:szCs w:val="34"/>
          <w:lang w:val="en-US" w:eastAsia="zh-CN" w:bidi="ar-SA"/>
        </w:rPr>
        <w:t>分，得分</w:t>
      </w:r>
      <w:r>
        <w:rPr>
          <w:rFonts w:hint="eastAsia" w:ascii="仿宋" w:hAnsi="仿宋" w:eastAsia="仿宋" w:cs="Times New Roman"/>
          <w:b/>
          <w:bCs/>
          <w:kern w:val="2"/>
          <w:sz w:val="32"/>
          <w:szCs w:val="34"/>
          <w:lang w:val="en-US" w:eastAsia="zh-CN" w:bidi="ar-SA"/>
        </w:rPr>
        <w:t>3</w:t>
      </w:r>
      <w:r>
        <w:rPr>
          <w:rFonts w:hint="default" w:ascii="仿宋" w:hAnsi="仿宋" w:eastAsia="仿宋" w:cs="Times New Roman"/>
          <w:b/>
          <w:bCs/>
          <w:kern w:val="2"/>
          <w:sz w:val="32"/>
          <w:szCs w:val="34"/>
          <w:lang w:val="en-US" w:eastAsia="zh-CN" w:bidi="ar-SA"/>
        </w:rPr>
        <w:t>分)。</w:t>
      </w:r>
      <w:r>
        <w:rPr>
          <w:rFonts w:hint="eastAsia" w:ascii="仿宋" w:hAnsi="仿宋" w:eastAsia="仿宋" w:cs="Times New Roman"/>
          <w:kern w:val="2"/>
          <w:sz w:val="32"/>
          <w:szCs w:val="34"/>
          <w:lang w:val="en-US" w:eastAsia="zh-CN" w:bidi="ar-SA"/>
        </w:rPr>
        <w:t>2025年度“三公”经费财政拨款支出预算为7.1万元，支出决算为5.42万元，“三公”经费实际支出数小于预算安排的“三公”经费数，符合要求。</w:t>
      </w:r>
    </w:p>
    <w:p w14:paraId="12739BCC">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方正小标宋简体" w:eastAsia="方正小标宋简体"/>
          <w:lang w:eastAsia="zh-CN"/>
        </w:rPr>
      </w:pPr>
      <w:bookmarkStart w:id="30" w:name="_Toc18975"/>
      <w:r>
        <w:rPr>
          <w:rFonts w:hint="eastAsia" w:ascii="方正小标宋简体" w:eastAsia="方正小标宋简体"/>
          <w:lang w:eastAsia="zh-CN"/>
        </w:rPr>
        <w:t>五、存在的问题、原因分析及改进措施</w:t>
      </w:r>
    </w:p>
    <w:p w14:paraId="6D4A627E">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b w:val="0"/>
          <w:bCs w:val="0"/>
          <w:kern w:val="2"/>
          <w:sz w:val="32"/>
          <w:szCs w:val="34"/>
          <w:lang w:val="en-US" w:eastAsia="zh-CN" w:bidi="ar-SA"/>
        </w:rPr>
      </w:pPr>
      <w:r>
        <w:rPr>
          <w:rFonts w:hint="eastAsia" w:ascii="方正仿宋简体" w:hAnsi="方正仿宋简体" w:eastAsia="方正仿宋简体" w:cs="方正仿宋简体"/>
          <w:b/>
          <w:bCs/>
          <w:sz w:val="32"/>
          <w:szCs w:val="32"/>
          <w:lang w:val="en-US" w:eastAsia="zh-CN"/>
        </w:rPr>
        <w:t>（一）存在问题</w:t>
      </w:r>
    </w:p>
    <w:p w14:paraId="262BBF61">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b w:val="0"/>
          <w:bCs w:val="0"/>
          <w:kern w:val="2"/>
          <w:sz w:val="32"/>
          <w:szCs w:val="34"/>
          <w:lang w:val="en-US" w:eastAsia="zh-CN" w:bidi="ar-SA"/>
        </w:rPr>
      </w:pPr>
      <w:r>
        <w:rPr>
          <w:rFonts w:hint="eastAsia" w:ascii="仿宋" w:hAnsi="仿宋" w:eastAsia="仿宋" w:cs="Times New Roman"/>
          <w:b w:val="0"/>
          <w:bCs w:val="0"/>
          <w:kern w:val="2"/>
          <w:sz w:val="32"/>
          <w:szCs w:val="34"/>
          <w:lang w:val="en-US" w:eastAsia="zh-CN" w:bidi="ar-SA"/>
        </w:rPr>
        <w:t>1.固定资产管理不到位。</w:t>
      </w:r>
    </w:p>
    <w:p w14:paraId="4717A97B">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b w:val="0"/>
          <w:bCs w:val="0"/>
          <w:kern w:val="2"/>
          <w:sz w:val="32"/>
          <w:szCs w:val="34"/>
          <w:lang w:val="en-US" w:eastAsia="zh-CN" w:bidi="ar-SA"/>
        </w:rPr>
      </w:pPr>
      <w:r>
        <w:rPr>
          <w:rFonts w:hint="eastAsia" w:ascii="仿宋" w:hAnsi="仿宋" w:eastAsia="仿宋" w:cs="Times New Roman"/>
          <w:b w:val="0"/>
          <w:bCs w:val="0"/>
          <w:kern w:val="2"/>
          <w:sz w:val="32"/>
          <w:szCs w:val="34"/>
          <w:lang w:val="en-US" w:eastAsia="zh-CN" w:bidi="ar-SA"/>
        </w:rPr>
        <w:t>未严格落实固定资产定期盘点制度，常态化盘点工作缺失；固定资产台账更新维护不及时，资产名称、存放地点、使用人、资产状态等基础信息更新滞后、信息不准，资产溯源、核查工作难以高效开展，资产管理规范化水平不足。</w:t>
      </w:r>
    </w:p>
    <w:p w14:paraId="7B0AD39D">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b w:val="0"/>
          <w:bCs w:val="0"/>
          <w:kern w:val="2"/>
          <w:sz w:val="32"/>
          <w:szCs w:val="34"/>
          <w:lang w:val="en-US" w:eastAsia="zh-CN" w:bidi="ar-SA"/>
        </w:rPr>
      </w:pPr>
      <w:r>
        <w:rPr>
          <w:rFonts w:hint="eastAsia" w:ascii="仿宋" w:hAnsi="仿宋" w:eastAsia="仿宋" w:cs="Times New Roman"/>
          <w:b w:val="0"/>
          <w:bCs w:val="0"/>
          <w:kern w:val="2"/>
          <w:sz w:val="32"/>
          <w:szCs w:val="34"/>
          <w:lang w:val="en-US" w:eastAsia="zh-CN" w:bidi="ar-SA"/>
        </w:rPr>
        <w:t>2.国有资产收入上缴管理不规范。</w:t>
      </w:r>
    </w:p>
    <w:p w14:paraId="2EE51706">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b w:val="0"/>
          <w:bCs w:val="0"/>
          <w:kern w:val="2"/>
          <w:sz w:val="32"/>
          <w:szCs w:val="34"/>
          <w:lang w:val="en-US" w:eastAsia="zh-CN" w:bidi="ar-SA"/>
        </w:rPr>
      </w:pPr>
      <w:r>
        <w:rPr>
          <w:rFonts w:hint="eastAsia" w:ascii="仿宋" w:hAnsi="仿宋" w:eastAsia="仿宋" w:cs="Times New Roman"/>
          <w:b w:val="0"/>
          <w:bCs w:val="0"/>
          <w:kern w:val="2"/>
          <w:sz w:val="32"/>
          <w:szCs w:val="34"/>
          <w:lang w:val="en-US" w:eastAsia="zh-CN" w:bidi="ar-SA"/>
        </w:rPr>
        <w:t>国有资产出租出借等经营性收入存在未及时足额上缴国库的问题；财务内控管理存在薄弱环节。</w:t>
      </w:r>
    </w:p>
    <w:p w14:paraId="3AD317CA">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b w:val="0"/>
          <w:bCs w:val="0"/>
          <w:kern w:val="2"/>
          <w:sz w:val="32"/>
          <w:szCs w:val="34"/>
          <w:lang w:val="en-US" w:eastAsia="zh-CN" w:bidi="ar-SA"/>
        </w:rPr>
      </w:pPr>
      <w:r>
        <w:rPr>
          <w:rFonts w:hint="eastAsia" w:ascii="仿宋" w:hAnsi="仿宋" w:eastAsia="仿宋" w:cs="Times New Roman"/>
          <w:b w:val="0"/>
          <w:bCs w:val="0"/>
          <w:kern w:val="2"/>
          <w:sz w:val="32"/>
          <w:szCs w:val="34"/>
          <w:lang w:val="en-US" w:eastAsia="zh-CN" w:bidi="ar-SA"/>
        </w:rPr>
        <w:t>3.预算绩效管理质量偏低。</w:t>
      </w:r>
    </w:p>
    <w:p w14:paraId="7BBAE1D6">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b w:val="0"/>
          <w:bCs w:val="0"/>
          <w:kern w:val="2"/>
          <w:sz w:val="32"/>
          <w:szCs w:val="34"/>
          <w:lang w:val="en-US" w:eastAsia="zh-CN" w:bidi="ar-SA"/>
        </w:rPr>
        <w:t>绩效指标设置缺乏科学论证，存在指</w:t>
      </w:r>
      <w:r>
        <w:rPr>
          <w:rFonts w:hint="eastAsia" w:ascii="仿宋" w:hAnsi="仿宋" w:eastAsia="仿宋" w:cs="Times New Roman"/>
          <w:kern w:val="2"/>
          <w:sz w:val="32"/>
          <w:szCs w:val="34"/>
          <w:lang w:val="en-US" w:eastAsia="zh-CN" w:bidi="ar-SA"/>
        </w:rPr>
        <w:t>标模糊、考核重复、难以量化等问题，合理性、科学性不足；工作人员绩效管理专业能力不足，绩效自评工作流于形式，整体自评质量有待提升。</w:t>
      </w:r>
    </w:p>
    <w:p w14:paraId="55962FE3">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（二）问题产生的原因分析</w:t>
      </w:r>
    </w:p>
    <w:p w14:paraId="696830C2">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kern w:val="2"/>
          <w:sz w:val="32"/>
          <w:szCs w:val="34"/>
          <w:lang w:val="en-US" w:eastAsia="zh-CN" w:bidi="ar-SA"/>
        </w:rPr>
        <w:t>针对上述问题，深入剖析根源，主要存在思想认识、制度执行、内控管理、能力建设四个方面短板：</w:t>
      </w:r>
    </w:p>
    <w:p w14:paraId="4E73FD95">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kern w:val="2"/>
          <w:sz w:val="32"/>
          <w:szCs w:val="34"/>
          <w:lang w:val="en-US" w:eastAsia="zh-CN" w:bidi="ar-SA"/>
        </w:rPr>
        <w:t>1.规矩意识薄弱，制度执行不严。工作人员对政府采购、资产管理、非税收入上缴等规章制度学习不深入、掌握不透彻，存在重业务推进、轻流程规范的思想，日常工作中未严格对照制度要求落实各项流程，制度落地执行存在宽松软的情况。</w:t>
      </w:r>
    </w:p>
    <w:p w14:paraId="5D147963">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kern w:val="2"/>
          <w:sz w:val="32"/>
          <w:szCs w:val="34"/>
          <w:lang w:val="en-US" w:eastAsia="zh-CN" w:bidi="ar-SA"/>
        </w:rPr>
        <w:t>2.管理机制不完善，常态化监管缺失。未建立资产、财务、绩效管理的常态化自查监管机制，日常监督检查频次不足，对资产盘点、收入上缴、绩效指标设置等关键环节缺乏动态管控，问题不能及时发现、及时整改，长期积累形成管理漏洞。</w:t>
      </w:r>
    </w:p>
    <w:p w14:paraId="281ACFCD">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kern w:val="2"/>
          <w:sz w:val="32"/>
          <w:szCs w:val="34"/>
          <w:lang w:val="en-US" w:eastAsia="zh-CN" w:bidi="ar-SA"/>
        </w:rPr>
        <w:t>3.内控体系不健全，部门协同不足。财务科室与业务科室工作衔接、协同配合不够紧密，在资产管理、绩效目标制定、收入核算等工作中存在信息壁垒，权责划分不够清晰，工作衔接流程不够顺畅，导致各项管理工作衔接脱节、标准不统一。</w:t>
      </w:r>
    </w:p>
    <w:p w14:paraId="13CA7861">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kern w:val="2"/>
          <w:sz w:val="32"/>
          <w:szCs w:val="34"/>
          <w:lang w:val="en-US" w:eastAsia="zh-CN" w:bidi="ar-SA"/>
        </w:rPr>
        <w:t>4.专业能力不足，业务培训欠缺。工作人员缺乏系统的绩效管理、政府采购、资产管理等专项业务培训，对绩效指标设置、规范验收流程、财务合规管理等专业业务掌握不熟练，业务能力和履职水平难以适配规范化、精细化管理工作要求。</w:t>
      </w:r>
    </w:p>
    <w:p w14:paraId="0F37466E">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（三）下一步改进措施</w:t>
      </w:r>
    </w:p>
    <w:p w14:paraId="38E9060D">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kern w:val="2"/>
          <w:sz w:val="32"/>
          <w:szCs w:val="34"/>
          <w:lang w:val="en-US" w:eastAsia="zh-CN" w:bidi="ar-SA"/>
        </w:rPr>
        <w:t>1.细化固定资产管理，实现资产精细化管控。严格执行单位固定资产管理制度，建立固定资产定期盘点机制，常态化开展资产盘点工作，完整记录盘点时间、盘点人员、资产数量、存放地点、使用人、使用状态等核心信息，做到账物核对有据可查。常态化更新维护固定资产台账，逐一核对完善资产名称、取得日期、入账时间、资产分类、存放地点、使用人、资产状态等基础信息，确保台账信息真实、准确、完整，实现固定资产可溯源、可核查、动态化管理，全面提升资产管理规范化水平。</w:t>
      </w:r>
    </w:p>
    <w:p w14:paraId="006653B5">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kern w:val="2"/>
          <w:sz w:val="32"/>
          <w:szCs w:val="34"/>
          <w:lang w:val="en-US" w:eastAsia="zh-CN" w:bidi="ar-SA"/>
        </w:rPr>
        <w:t>2.强化财务内控管理，规范非税收入管理。进一步健全财务内部控制制度，压实财务工作责任，规范国有资产出租、处置等各类收入管理流程，确保所有国有经营性收入及时、足额上缴国库，杜绝截留、滞后上缴等问题。</w:t>
      </w:r>
    </w:p>
    <w:p w14:paraId="714E0F47">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outlineLvl w:val="9"/>
        <w:rPr>
          <w:rFonts w:hint="eastAsia" w:ascii="仿宋" w:hAnsi="仿宋" w:eastAsia="仿宋" w:cs="Times New Roman"/>
          <w:kern w:val="2"/>
          <w:sz w:val="32"/>
          <w:szCs w:val="34"/>
          <w:lang w:val="en-US" w:eastAsia="zh-CN" w:bidi="ar-SA"/>
        </w:rPr>
      </w:pPr>
      <w:r>
        <w:rPr>
          <w:rFonts w:hint="eastAsia" w:ascii="仿宋" w:hAnsi="仿宋" w:eastAsia="仿宋" w:cs="Times New Roman"/>
          <w:kern w:val="2"/>
          <w:sz w:val="32"/>
          <w:szCs w:val="34"/>
          <w:lang w:val="en-US" w:eastAsia="zh-CN" w:bidi="ar-SA"/>
        </w:rPr>
        <w:t>3.优化绩效管理体系，提升自评工作质量。建立多部门联动论证机制，由业务科室、财务室共同参与绩效目标及指标设置研讨，聚焦科学性、合理性、实用性优化指标体系。精简指标内容，确保表述清晰、精准、独立，杜绝重复考核，统一设置可量化、可考核的指标值，提升绩效指标设置质量。常态化开展绩效管理专项培训、业务学习和实操演练，以训促学、以练促能，全面提升工作人员绩效目标编制、自评分析的专业能力，切实提升单位整体预算绩效管理水平。</w:t>
      </w:r>
    </w:p>
    <w:p w14:paraId="63F6400A">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ascii="方正小标宋简体" w:eastAsia="方正小标宋简体"/>
        </w:rPr>
      </w:pPr>
      <w:r>
        <w:rPr>
          <w:rFonts w:hint="eastAsia" w:ascii="方正小标宋简体" w:eastAsia="方正小标宋简体"/>
          <w:lang w:eastAsia="zh-CN"/>
        </w:rPr>
        <w:t>六、</w:t>
      </w:r>
      <w:r>
        <w:rPr>
          <w:rFonts w:hint="eastAsia" w:ascii="方正小标宋简体" w:eastAsia="方正小标宋简体"/>
        </w:rPr>
        <w:t>其他需要说明的情况</w:t>
      </w:r>
    </w:p>
    <w:p w14:paraId="21F96957">
      <w:pPr>
        <w:ind w:firstLine="616" w:firstLineChars="200"/>
      </w:pPr>
      <w:r>
        <w:rPr>
          <w:rFonts w:hint="eastAsia"/>
        </w:rPr>
        <w:t>无。</w:t>
      </w:r>
    </w:p>
    <w:bookmarkEnd w:id="30"/>
    <w:p w14:paraId="5316CD42"/>
    <w:sectPr>
      <w:headerReference r:id="rId3" w:type="default"/>
      <w:footerReference r:id="rId4" w:type="default"/>
      <w:pgSz w:w="11906" w:h="16838"/>
      <w:pgMar w:top="1701" w:right="1588" w:bottom="1644" w:left="1701" w:header="851" w:footer="992" w:gutter="0"/>
      <w:cols w:space="425" w:num="1"/>
      <w:docGrid w:type="linesAndChars" w:linePitch="562"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7CA60">
    <w:pPr>
      <w:pStyle w:val="5"/>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394E5">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CBB23"/>
    <w:multiLevelType w:val="singleLevel"/>
    <w:tmpl w:val="0FBCBB2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60"/>
    <w:rsid w:val="00007A67"/>
    <w:rsid w:val="00022542"/>
    <w:rsid w:val="000258AA"/>
    <w:rsid w:val="000D1E99"/>
    <w:rsid w:val="0012286D"/>
    <w:rsid w:val="00132593"/>
    <w:rsid w:val="00145B76"/>
    <w:rsid w:val="00170E39"/>
    <w:rsid w:val="001834A3"/>
    <w:rsid w:val="00195019"/>
    <w:rsid w:val="001B111B"/>
    <w:rsid w:val="001B4856"/>
    <w:rsid w:val="001D33F5"/>
    <w:rsid w:val="001E1FDF"/>
    <w:rsid w:val="001F07DA"/>
    <w:rsid w:val="001F096B"/>
    <w:rsid w:val="0023428B"/>
    <w:rsid w:val="00235EDE"/>
    <w:rsid w:val="00267E35"/>
    <w:rsid w:val="002A7F8F"/>
    <w:rsid w:val="002C4D92"/>
    <w:rsid w:val="002D7EDF"/>
    <w:rsid w:val="002E516E"/>
    <w:rsid w:val="002E5CB6"/>
    <w:rsid w:val="002F1311"/>
    <w:rsid w:val="00314DC0"/>
    <w:rsid w:val="00331AA1"/>
    <w:rsid w:val="00347820"/>
    <w:rsid w:val="00347914"/>
    <w:rsid w:val="00395359"/>
    <w:rsid w:val="003B7E05"/>
    <w:rsid w:val="003D4D40"/>
    <w:rsid w:val="004078CE"/>
    <w:rsid w:val="00410146"/>
    <w:rsid w:val="00413B2F"/>
    <w:rsid w:val="00421D22"/>
    <w:rsid w:val="0043014F"/>
    <w:rsid w:val="004531CF"/>
    <w:rsid w:val="004749F5"/>
    <w:rsid w:val="00486009"/>
    <w:rsid w:val="004B2E77"/>
    <w:rsid w:val="004D35D6"/>
    <w:rsid w:val="004D736E"/>
    <w:rsid w:val="00510F6B"/>
    <w:rsid w:val="00537F7E"/>
    <w:rsid w:val="00566EB1"/>
    <w:rsid w:val="00572A0D"/>
    <w:rsid w:val="00574D73"/>
    <w:rsid w:val="005B06B5"/>
    <w:rsid w:val="005B07DD"/>
    <w:rsid w:val="005B6EB7"/>
    <w:rsid w:val="005C28C3"/>
    <w:rsid w:val="005D4C3F"/>
    <w:rsid w:val="005E6FE2"/>
    <w:rsid w:val="00606F30"/>
    <w:rsid w:val="00620700"/>
    <w:rsid w:val="0062264E"/>
    <w:rsid w:val="006265B7"/>
    <w:rsid w:val="006317C3"/>
    <w:rsid w:val="00665117"/>
    <w:rsid w:val="00675A9A"/>
    <w:rsid w:val="006B0F8D"/>
    <w:rsid w:val="006D4795"/>
    <w:rsid w:val="00736CB1"/>
    <w:rsid w:val="0074594E"/>
    <w:rsid w:val="0075049C"/>
    <w:rsid w:val="00754811"/>
    <w:rsid w:val="007705F1"/>
    <w:rsid w:val="00781B6C"/>
    <w:rsid w:val="0078264B"/>
    <w:rsid w:val="007A1F56"/>
    <w:rsid w:val="007A7399"/>
    <w:rsid w:val="00804DCB"/>
    <w:rsid w:val="00816A2A"/>
    <w:rsid w:val="008428B2"/>
    <w:rsid w:val="0084340E"/>
    <w:rsid w:val="0086235A"/>
    <w:rsid w:val="00876A57"/>
    <w:rsid w:val="00880F2C"/>
    <w:rsid w:val="008B525A"/>
    <w:rsid w:val="008C30AE"/>
    <w:rsid w:val="008E75C3"/>
    <w:rsid w:val="0090022C"/>
    <w:rsid w:val="00982492"/>
    <w:rsid w:val="009D75F0"/>
    <w:rsid w:val="00A66BD5"/>
    <w:rsid w:val="00A813BE"/>
    <w:rsid w:val="00A8644D"/>
    <w:rsid w:val="00A91495"/>
    <w:rsid w:val="00AC5B70"/>
    <w:rsid w:val="00AF7207"/>
    <w:rsid w:val="00B05F42"/>
    <w:rsid w:val="00B12D08"/>
    <w:rsid w:val="00B32B1B"/>
    <w:rsid w:val="00B55F8F"/>
    <w:rsid w:val="00B857D8"/>
    <w:rsid w:val="00B953DC"/>
    <w:rsid w:val="00BA5204"/>
    <w:rsid w:val="00BF3EFE"/>
    <w:rsid w:val="00BF4502"/>
    <w:rsid w:val="00C005AF"/>
    <w:rsid w:val="00C10A76"/>
    <w:rsid w:val="00C112EA"/>
    <w:rsid w:val="00C13943"/>
    <w:rsid w:val="00C65605"/>
    <w:rsid w:val="00C8769E"/>
    <w:rsid w:val="00CD5F4B"/>
    <w:rsid w:val="00D24C0F"/>
    <w:rsid w:val="00D41CC7"/>
    <w:rsid w:val="00D45282"/>
    <w:rsid w:val="00D67E60"/>
    <w:rsid w:val="00D73EB4"/>
    <w:rsid w:val="00D74AD4"/>
    <w:rsid w:val="00D82FAA"/>
    <w:rsid w:val="00DA04CD"/>
    <w:rsid w:val="00DA43A7"/>
    <w:rsid w:val="00DA5CEB"/>
    <w:rsid w:val="00DC37C4"/>
    <w:rsid w:val="00DC4199"/>
    <w:rsid w:val="00DE17BB"/>
    <w:rsid w:val="00DF7A41"/>
    <w:rsid w:val="00E03302"/>
    <w:rsid w:val="00E21FA4"/>
    <w:rsid w:val="00E23CAC"/>
    <w:rsid w:val="00E3272E"/>
    <w:rsid w:val="00E71A39"/>
    <w:rsid w:val="00E82D5B"/>
    <w:rsid w:val="00EA4E69"/>
    <w:rsid w:val="00EC4520"/>
    <w:rsid w:val="00ED3E32"/>
    <w:rsid w:val="00ED5CA9"/>
    <w:rsid w:val="00EF1D42"/>
    <w:rsid w:val="00F04107"/>
    <w:rsid w:val="00F14CD1"/>
    <w:rsid w:val="00F43167"/>
    <w:rsid w:val="00F43EA4"/>
    <w:rsid w:val="00F57915"/>
    <w:rsid w:val="00FF40BF"/>
    <w:rsid w:val="01995A36"/>
    <w:rsid w:val="02B24304"/>
    <w:rsid w:val="03AF33C7"/>
    <w:rsid w:val="03EA5D29"/>
    <w:rsid w:val="050F542E"/>
    <w:rsid w:val="057D5033"/>
    <w:rsid w:val="05934153"/>
    <w:rsid w:val="06AC316A"/>
    <w:rsid w:val="08585CD7"/>
    <w:rsid w:val="08D631A4"/>
    <w:rsid w:val="09975DC9"/>
    <w:rsid w:val="09D77404"/>
    <w:rsid w:val="0A52229A"/>
    <w:rsid w:val="0A561659"/>
    <w:rsid w:val="0B185CF6"/>
    <w:rsid w:val="0B62325E"/>
    <w:rsid w:val="0B8F3650"/>
    <w:rsid w:val="0BE40608"/>
    <w:rsid w:val="0C756362"/>
    <w:rsid w:val="0CAD24F6"/>
    <w:rsid w:val="0D440EAC"/>
    <w:rsid w:val="0D89570C"/>
    <w:rsid w:val="0E4C4C9F"/>
    <w:rsid w:val="0E5F55B1"/>
    <w:rsid w:val="0E6B7BD3"/>
    <w:rsid w:val="0FE73815"/>
    <w:rsid w:val="108D18CE"/>
    <w:rsid w:val="10A67D57"/>
    <w:rsid w:val="12252338"/>
    <w:rsid w:val="14060AFB"/>
    <w:rsid w:val="164436F2"/>
    <w:rsid w:val="169F2025"/>
    <w:rsid w:val="17710487"/>
    <w:rsid w:val="1ADA7608"/>
    <w:rsid w:val="1B0D1E63"/>
    <w:rsid w:val="1BBD409D"/>
    <w:rsid w:val="1BFD6F6E"/>
    <w:rsid w:val="1D3F3379"/>
    <w:rsid w:val="1DF83068"/>
    <w:rsid w:val="1E1B36DB"/>
    <w:rsid w:val="1EF6633E"/>
    <w:rsid w:val="2039253E"/>
    <w:rsid w:val="244F4FEC"/>
    <w:rsid w:val="247C5066"/>
    <w:rsid w:val="25A927F6"/>
    <w:rsid w:val="279F4671"/>
    <w:rsid w:val="27DE4B91"/>
    <w:rsid w:val="28773A54"/>
    <w:rsid w:val="28F8484C"/>
    <w:rsid w:val="2A1060BE"/>
    <w:rsid w:val="2A8C690D"/>
    <w:rsid w:val="2BE14AB2"/>
    <w:rsid w:val="2C2E1289"/>
    <w:rsid w:val="2C31056E"/>
    <w:rsid w:val="2C496873"/>
    <w:rsid w:val="2CA36A90"/>
    <w:rsid w:val="2CB23379"/>
    <w:rsid w:val="2F126434"/>
    <w:rsid w:val="308E41E1"/>
    <w:rsid w:val="31BD2380"/>
    <w:rsid w:val="31C6445A"/>
    <w:rsid w:val="33B842DD"/>
    <w:rsid w:val="33CD330B"/>
    <w:rsid w:val="35907F05"/>
    <w:rsid w:val="367C49A1"/>
    <w:rsid w:val="37201CC3"/>
    <w:rsid w:val="37442441"/>
    <w:rsid w:val="3779403D"/>
    <w:rsid w:val="37821F6F"/>
    <w:rsid w:val="378E2CC3"/>
    <w:rsid w:val="39904DDF"/>
    <w:rsid w:val="399D1DD6"/>
    <w:rsid w:val="3A0C2059"/>
    <w:rsid w:val="3B3F1DAA"/>
    <w:rsid w:val="3CF06A62"/>
    <w:rsid w:val="3DFC546C"/>
    <w:rsid w:val="3E8E7E41"/>
    <w:rsid w:val="3F274DEE"/>
    <w:rsid w:val="3FDC7221"/>
    <w:rsid w:val="40694DC0"/>
    <w:rsid w:val="40E203D3"/>
    <w:rsid w:val="414478E0"/>
    <w:rsid w:val="42CD6896"/>
    <w:rsid w:val="432F53AF"/>
    <w:rsid w:val="437D3396"/>
    <w:rsid w:val="43986ABA"/>
    <w:rsid w:val="43DC723C"/>
    <w:rsid w:val="44123DA4"/>
    <w:rsid w:val="450A60D4"/>
    <w:rsid w:val="4597570B"/>
    <w:rsid w:val="45BC3C6F"/>
    <w:rsid w:val="45FE57B7"/>
    <w:rsid w:val="47001755"/>
    <w:rsid w:val="483E2094"/>
    <w:rsid w:val="48623CC5"/>
    <w:rsid w:val="4890686D"/>
    <w:rsid w:val="489B5295"/>
    <w:rsid w:val="4A0550BC"/>
    <w:rsid w:val="4B4A046A"/>
    <w:rsid w:val="4BE622C7"/>
    <w:rsid w:val="4BE70D66"/>
    <w:rsid w:val="4C4641C9"/>
    <w:rsid w:val="4C500061"/>
    <w:rsid w:val="4D247FF7"/>
    <w:rsid w:val="4E187754"/>
    <w:rsid w:val="4EF474AD"/>
    <w:rsid w:val="503009B9"/>
    <w:rsid w:val="5080549C"/>
    <w:rsid w:val="508D654D"/>
    <w:rsid w:val="5163582E"/>
    <w:rsid w:val="52EF09B9"/>
    <w:rsid w:val="52FA4FA5"/>
    <w:rsid w:val="53144CD5"/>
    <w:rsid w:val="53497857"/>
    <w:rsid w:val="554953EF"/>
    <w:rsid w:val="55FD43E7"/>
    <w:rsid w:val="5625333F"/>
    <w:rsid w:val="578D647B"/>
    <w:rsid w:val="57D1165A"/>
    <w:rsid w:val="58AA1B0C"/>
    <w:rsid w:val="58AF2FAF"/>
    <w:rsid w:val="58D61676"/>
    <w:rsid w:val="58D7452E"/>
    <w:rsid w:val="58ED3D1E"/>
    <w:rsid w:val="593B17D2"/>
    <w:rsid w:val="597171B1"/>
    <w:rsid w:val="59A42175"/>
    <w:rsid w:val="59C608E4"/>
    <w:rsid w:val="5A305967"/>
    <w:rsid w:val="5AD22D98"/>
    <w:rsid w:val="5BBB3DF7"/>
    <w:rsid w:val="5BD946E4"/>
    <w:rsid w:val="5D5C5736"/>
    <w:rsid w:val="5DED15CA"/>
    <w:rsid w:val="5E102850"/>
    <w:rsid w:val="5EB046FE"/>
    <w:rsid w:val="600128AE"/>
    <w:rsid w:val="60B454DC"/>
    <w:rsid w:val="613D2E58"/>
    <w:rsid w:val="616B34F3"/>
    <w:rsid w:val="618446C0"/>
    <w:rsid w:val="619F5BD5"/>
    <w:rsid w:val="63A71101"/>
    <w:rsid w:val="64437109"/>
    <w:rsid w:val="650D324F"/>
    <w:rsid w:val="657704D8"/>
    <w:rsid w:val="66286086"/>
    <w:rsid w:val="6740117A"/>
    <w:rsid w:val="68727990"/>
    <w:rsid w:val="68CD17FA"/>
    <w:rsid w:val="6A2431C3"/>
    <w:rsid w:val="6A3401EC"/>
    <w:rsid w:val="6A937C4A"/>
    <w:rsid w:val="6AE30055"/>
    <w:rsid w:val="6BFE76BB"/>
    <w:rsid w:val="6C14241E"/>
    <w:rsid w:val="6C2905ED"/>
    <w:rsid w:val="6C867E4A"/>
    <w:rsid w:val="6D9C0FE4"/>
    <w:rsid w:val="6E0C7681"/>
    <w:rsid w:val="6E796721"/>
    <w:rsid w:val="6EAB75EB"/>
    <w:rsid w:val="6EB36059"/>
    <w:rsid w:val="6EC523DF"/>
    <w:rsid w:val="6FD57947"/>
    <w:rsid w:val="700C488E"/>
    <w:rsid w:val="703F389D"/>
    <w:rsid w:val="70A75ACA"/>
    <w:rsid w:val="711A32FB"/>
    <w:rsid w:val="717107DF"/>
    <w:rsid w:val="71DD1B1D"/>
    <w:rsid w:val="71F552F7"/>
    <w:rsid w:val="72B539E4"/>
    <w:rsid w:val="731D6859"/>
    <w:rsid w:val="73CA1391"/>
    <w:rsid w:val="74EB421F"/>
    <w:rsid w:val="753C7AF4"/>
    <w:rsid w:val="755D54FC"/>
    <w:rsid w:val="7565081C"/>
    <w:rsid w:val="75F209C7"/>
    <w:rsid w:val="76BE1C0E"/>
    <w:rsid w:val="779E7FF9"/>
    <w:rsid w:val="781611AF"/>
    <w:rsid w:val="79A50E6D"/>
    <w:rsid w:val="7A1E13BB"/>
    <w:rsid w:val="7AA22E11"/>
    <w:rsid w:val="7CFC0A17"/>
    <w:rsid w:val="7D006FF5"/>
    <w:rsid w:val="7DAF7182"/>
    <w:rsid w:val="7EA46B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80" w:firstLineChars="200"/>
    </w:pPr>
    <w:rPr>
      <w:sz w:val="24"/>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qFormat/>
    <w:uiPriority w:val="0"/>
    <w:pPr>
      <w:snapToGrid w:val="0"/>
      <w:jc w:val="left"/>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paragraph" w:customStyle="1" w:styleId="12">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13">
    <w:name w:val="正文首行缩进 21"/>
    <w:basedOn w:val="1"/>
    <w:qFormat/>
    <w:uiPriority w:val="0"/>
    <w:pPr>
      <w:spacing w:line="360" w:lineRule="auto"/>
      <w:ind w:firstLine="420" w:firstLineChars="200"/>
      <w:textAlignment w:val="baseline"/>
    </w:pPr>
    <w:rPr>
      <w:rFonts w:eastAsia="宋体"/>
      <w:sz w:val="24"/>
    </w:rPr>
  </w:style>
  <w:style w:type="paragraph" w:styleId="1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8374</Words>
  <Characters>8845</Characters>
  <Lines>21</Lines>
  <Paragraphs>10</Paragraphs>
  <TotalTime>18</TotalTime>
  <ScaleCrop>false</ScaleCrop>
  <LinksUpToDate>false</LinksUpToDate>
  <CharactersWithSpaces>8922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2020-07-14T08:14:00Z</dcterms:created>
  <dc:creator>shx</dc:creator>
  <cp:lastModifiedBy>雪飞</cp:lastModifiedBy>
  <cp:lastPrinted>2020-07-14T08:13:00Z</cp:lastPrinted>
  <dcterms:modified xsi:type="dcterms:W3CDTF">2026-06-05T00:56:15Z</dcterms:modified>
  <dc:title>附件4</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eyJoZGlkIjoiNzk2ODBmNmI2NjQ3MzE0ODdmZGYwOWQ3OWFhNjAwYjMiLCJ1c2VySWQiOiIzOTQ2NzQwODAifQ==</vt:lpwstr>
  </property>
  <property fmtid="{D5CDD505-2E9C-101B-9397-08002B2CF9AE}" pid="4" name="ICV">
    <vt:lpwstr>DE3B81D479174775909D8404750E3AAD_13</vt:lpwstr>
  </property>
</Properties>
</file>